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732CFB" w:rsidTr="00354F28">
        <w:tc>
          <w:tcPr>
            <w:tcW w:w="10800" w:type="dxa"/>
            <w:tcBorders>
              <w:bottom w:val="single" w:sz="4" w:space="0" w:color="auto"/>
            </w:tcBorders>
          </w:tcPr>
          <w:p w:rsidR="00924D00" w:rsidRPr="00924D00" w:rsidRDefault="00924D00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762B7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Քլորի ֆիզիկական</w:t>
            </w:r>
            <w:r w:rsidRPr="00762B7B">
              <w:rPr>
                <w:rStyle w:val="Emphasis"/>
                <w:b/>
                <w:bCs/>
                <w:lang w:val="hy-AM"/>
              </w:rPr>
              <w:t xml:space="preserve"> </w:t>
            </w:r>
            <w:r w:rsidRPr="00762B7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և</w:t>
            </w:r>
            <w:r w:rsidRPr="00762B7B">
              <w:rPr>
                <w:rStyle w:val="Emphasis"/>
                <w:b/>
                <w:bCs/>
                <w:lang w:val="hy-AM"/>
              </w:rPr>
              <w:t> </w:t>
            </w:r>
            <w:r w:rsidRPr="00762B7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քիմիական հատկությունները,</w:t>
            </w:r>
          </w:p>
          <w:p w:rsidR="00F2628F" w:rsidRPr="00762B7B" w:rsidRDefault="00762B7B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Քլորի տարաների </w:t>
            </w:r>
            <w:r w:rsidR="00B43D74" w:rsidRPr="00B43D7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բեռնման-բեռնաթափման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/</w:t>
            </w:r>
            <w:r w:rsidR="00B43D74" w:rsidRPr="00B43D7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բարձրացման, իջեցման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/</w:t>
            </w:r>
            <w:r w:rsidR="00B43D74" w:rsidRPr="00B43D7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տեղափոխման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աշխատանքներին ներկայացվող անվտանգության պահանջները։</w:t>
            </w:r>
          </w:p>
          <w:p w:rsidR="00762B7B" w:rsidRPr="00924D00" w:rsidRDefault="00762B7B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Ավտոմեքենայի թափքում  </w:t>
            </w: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քլորի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տարաների </w:t>
            </w:r>
            <w:r w:rsidRPr="00762B7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(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բալոն, կոնտեյներ</w:t>
            </w:r>
            <w:r w:rsidRPr="00762B7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)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տեղադրման, ֆիքսման փոխադրմանը ներկայացվող անվտանգության պահանջները։</w:t>
            </w:r>
          </w:p>
          <w:p w:rsidR="00924D00" w:rsidRPr="000A1B99" w:rsidRDefault="00924D00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Քլորի սահմանային թույլատրելի կոնցենտրացիաները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համաձայն 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աշխատանքի անվտանգության և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շրջակա միջավայրի 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նորմեր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ով սահմանված պահանջների։</w:t>
            </w:r>
            <w:bookmarkStart w:id="0" w:name="_GoBack"/>
            <w:bookmarkEnd w:id="0"/>
          </w:p>
          <w:p w:rsidR="00924D00" w:rsidRPr="00924D00" w:rsidRDefault="00924D00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Քլորի արտահոսքի վերացման ձևերը։</w:t>
            </w:r>
          </w:p>
          <w:p w:rsidR="00924D00" w:rsidRPr="00DB01DD" w:rsidRDefault="00924D00" w:rsidP="00924D00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Քլոր տեղափոփող մեքենայում անհատական պաշտպանության միջոցների, կոլեկտիվ պաշտպանության միջոցներիների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օգտագործման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պահպանման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և կիրառման կարգը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3D1919" w:rsidRPr="00924D00" w:rsidRDefault="003D1919" w:rsidP="00924D00">
            <w:pPr>
              <w:pStyle w:val="Footer"/>
              <w:numPr>
                <w:ilvl w:val="1"/>
                <w:numId w:val="20"/>
              </w:numPr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Ավտոկռունկի ամբարձիչ սարքավորումների </w:t>
            </w:r>
            <w:r w:rsidRPr="00924D0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շահագործումն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Pr="00924D0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արգելող անսարքություններն ու պայմանները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3D1919" w:rsidRPr="00642589" w:rsidRDefault="003D1919" w:rsidP="00924D00">
            <w:pPr>
              <w:pStyle w:val="Footer"/>
              <w:numPr>
                <w:ilvl w:val="1"/>
                <w:numId w:val="20"/>
              </w:numPr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Ավտոկռունկների շահագործման անվտանգության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տեխնիկայի կանոնները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։</w:t>
            </w:r>
          </w:p>
          <w:p w:rsidR="0018387D" w:rsidRPr="00642589" w:rsidRDefault="003D1919" w:rsidP="00924D00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enter" w:pos="522"/>
              </w:tabs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Ավտոտրանսպորտային միջոցների</w:t>
            </w:r>
            <w:r w:rsidR="00924D0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և քլոր տեղափոխող մեքենայի</w:t>
            </w:r>
            <w:r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շահագործումն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</w:t>
            </w:r>
            <w:r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արգելող անսարքություններն ու պայմանները</w:t>
            </w:r>
            <w:r w:rsidR="0018387D"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</w:t>
            </w:r>
          </w:p>
          <w:p w:rsidR="00F76AA4" w:rsidRPr="00642589" w:rsidRDefault="00924D00" w:rsidP="00642589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enter" w:pos="522"/>
              </w:tabs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Քլորով թ</w:t>
            </w:r>
            <w:r w:rsidR="00A002DD"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ունավորման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ա</w:t>
            </w:r>
            <w:r w:rsidR="00A002DD" w:rsidRP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յրվածքների, կոտրվածքների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արնահոսությունների</w:t>
            </w:r>
            <w:r w:rsidR="00FA2A44" w:rsidRPr="00FA2A44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դեպքում տուժածին</w:t>
            </w:r>
            <w:r w:rsidR="00A002DD"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առաջին օգնություն ցու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ցաբերելու</w:t>
            </w:r>
            <w:r w:rsidR="00A002DD" w:rsidRPr="0064258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կանոնները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ինչպես նաև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 ցուցաբերվող սիր</w:t>
            </w:r>
            <w:r w:rsidR="0064258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 w:rsidR="00A002DD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732CFB" w:rsidTr="00354F28">
        <w:tc>
          <w:tcPr>
            <w:tcW w:w="10800" w:type="dxa"/>
          </w:tcPr>
          <w:p w:rsidR="00913207" w:rsidRPr="00BD2261" w:rsidRDefault="00913207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913207" w:rsidRDefault="00913207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913207" w:rsidRPr="00935F0D" w:rsidRDefault="00913207" w:rsidP="0091320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 xml:space="preserve">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913207" w:rsidRDefault="00913207" w:rsidP="0091320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913207" w:rsidRDefault="00913207" w:rsidP="0091320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</w:t>
            </w:r>
            <w:r w:rsidR="00344EF5" w:rsidRPr="00344EF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ծախսերը։   </w:t>
            </w:r>
          </w:p>
          <w:p w:rsidR="00913207" w:rsidRDefault="00913207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C64949" w:rsidRPr="00B25EAB" w:rsidRDefault="00913207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</w:p>
          <w:p w:rsidR="00913207" w:rsidRPr="000B6247" w:rsidRDefault="00C64949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Քլոր տեղափոխող մեքենայի վարորդի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 w:rsidR="00913207" w:rsidRP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կամ ՀՀ օրենսդրությամբ </w:t>
            </w:r>
            <w:r w:rsidR="00913207"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 w:rsid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="0091320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91320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913207" w:rsidRP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913207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 w:rsid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91320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91320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="0091320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913207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A002DD" w:rsidRPr="00913207" w:rsidRDefault="00913207" w:rsidP="0091320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c>
          <w:tcPr>
            <w:tcW w:w="1080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732CFB" w:rsidTr="00354F28">
        <w:tc>
          <w:tcPr>
            <w:tcW w:w="10800" w:type="dxa"/>
            <w:tcBorders>
              <w:bottom w:val="single" w:sz="4" w:space="0" w:color="auto"/>
            </w:tcBorders>
          </w:tcPr>
          <w:p w:rsidR="00C64949" w:rsidRPr="001C18BA" w:rsidRDefault="00C64949" w:rsidP="00C64949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C55643">
              <w:rPr>
                <w:rFonts w:ascii="Sylfaen" w:hAnsi="Sylfaen"/>
                <w:b/>
                <w:bCs/>
                <w:color w:val="1F497D" w:themeColor="text2"/>
              </w:rPr>
              <w:t xml:space="preserve">Բաժնի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պատասխանատուների հետ։</w:t>
            </w:r>
          </w:p>
          <w:p w:rsidR="00C64949" w:rsidRPr="00C161D4" w:rsidRDefault="00C64949" w:rsidP="00C64949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 w:rsidR="00C55643" w:rsidRPr="00C55643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.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 w:rsidR="00C55643" w:rsidRPr="00C5564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.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10  կետերով նշված Դասընթացի թ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C64949" w:rsidRPr="00B45D0C" w:rsidRDefault="00C64949" w:rsidP="00C64949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C64949" w:rsidRPr="00B45D0C" w:rsidRDefault="00C64949" w:rsidP="00C64949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C64949" w:rsidP="00C64949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ցանկը՝ հակիրճ բովանդակությամբ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2145D1" w:rsidRPr="00732CFB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820F97" w:rsidRPr="001C18BA" w:rsidRDefault="00272DE6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Դասընթացից հետո</w:t>
            </w:r>
            <w:r w:rsidR="00FC1E0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յուրաքանչյուր մասնակից լրացնում է թեմաների վերաբերյալ հարցաշար։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</w:t>
            </w:r>
            <w:r w:rsidR="00642589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)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միավոր։</w:t>
            </w:r>
          </w:p>
          <w:p w:rsidR="00FC1E02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 </w:t>
            </w:r>
            <w:r w:rsidR="00732CFB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կամ դրա սքան տարբերակը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գնահատվում է դրական, եթե մասնակիցը </w:t>
            </w:r>
            <w:r w:rsidR="003D0E9D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60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%-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lastRenderedPageBreak/>
              <w:t>ով ճիշտ է պատ</w:t>
            </w:r>
            <w:r w:rsidR="0011481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1C18BA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1C18BA" w:rsidP="00C55643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C55643" w:rsidRPr="00C55643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</w:tbl>
    <w:p w:rsidR="00393C6E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p w:rsidR="00D969F5" w:rsidRPr="00B61110" w:rsidRDefault="009A793B" w:rsidP="009479CE">
      <w:pPr>
        <w:pStyle w:val="Footer"/>
        <w:ind w:right="360"/>
        <w:jc w:val="both"/>
        <w:rPr>
          <w:rFonts w:ascii="Sylfaen" w:hAnsi="Sylfaen"/>
          <w:bCs/>
          <w:sz w:val="12"/>
          <w:szCs w:val="20"/>
          <w:lang w:val="hy-AM"/>
        </w:rPr>
      </w:pPr>
      <w:r w:rsidRPr="005A4602">
        <w:rPr>
          <w:rFonts w:ascii="Sylfaen" w:hAnsi="Sylfaen"/>
          <w:bCs/>
          <w:sz w:val="24"/>
          <w:szCs w:val="20"/>
          <w:lang w:val="hy-AM"/>
        </w:rPr>
        <w:t xml:space="preserve"> </w:t>
      </w:r>
    </w:p>
    <w:p w:rsidR="00C8714D" w:rsidRDefault="00C8714D" w:rsidP="00C8714D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>
        <w:rPr>
          <w:rFonts w:ascii="Sylfaen" w:hAnsi="Sylfaen" w:cs="Sylfaen"/>
          <w:b/>
          <w:color w:val="FF0000"/>
          <w:shd w:val="clear" w:color="auto" w:fill="FFFFFF"/>
          <w:lang w:val="hy-AM"/>
        </w:rPr>
        <w:t>։</w:t>
      </w:r>
    </w:p>
    <w:p w:rsidR="00C8714D" w:rsidRPr="003F2D7A" w:rsidRDefault="00C8714D" w:rsidP="00C8714D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z w:val="10"/>
          <w:shd w:val="clear" w:color="auto" w:fill="FFFFFF"/>
          <w:lang w:val="hy-AM"/>
        </w:rPr>
      </w:pPr>
    </w:p>
    <w:p w:rsidR="0028569E" w:rsidRDefault="00C8714D" w:rsidP="0028569E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** </w:t>
      </w:r>
      <w:r w:rsidR="0028569E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ՔԱՆԱԿՆԵՐԻ։</w:t>
      </w:r>
    </w:p>
    <w:p w:rsidR="00F92CA4" w:rsidRDefault="00F92CA4" w:rsidP="00C8714D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F92CA4" w:rsidRPr="00732CFB" w:rsidTr="00420FA7">
        <w:trPr>
          <w:trHeight w:val="654"/>
        </w:trPr>
        <w:tc>
          <w:tcPr>
            <w:tcW w:w="5429" w:type="dxa"/>
          </w:tcPr>
          <w:p w:rsidR="00F92CA4" w:rsidRPr="004D1814" w:rsidRDefault="00F92CA4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F92CA4" w:rsidRPr="004D1814" w:rsidRDefault="00F92CA4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F92CA4" w:rsidTr="00420FA7">
        <w:trPr>
          <w:trHeight w:val="327"/>
        </w:trPr>
        <w:tc>
          <w:tcPr>
            <w:tcW w:w="5429" w:type="dxa"/>
          </w:tcPr>
          <w:p w:rsidR="00F92CA4" w:rsidRPr="004D1814" w:rsidRDefault="00F92CA4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  <w:tc>
          <w:tcPr>
            <w:tcW w:w="5429" w:type="dxa"/>
          </w:tcPr>
          <w:p w:rsidR="00F92CA4" w:rsidRPr="004D1814" w:rsidRDefault="00F92CA4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</w:tr>
      <w:tr w:rsidR="00F92CA4" w:rsidTr="00420FA7">
        <w:trPr>
          <w:trHeight w:val="327"/>
        </w:trPr>
        <w:tc>
          <w:tcPr>
            <w:tcW w:w="10858" w:type="dxa"/>
            <w:gridSpan w:val="2"/>
          </w:tcPr>
          <w:p w:rsidR="00F92CA4" w:rsidRPr="004D1814" w:rsidRDefault="00F92CA4" w:rsidP="00F92CA4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3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F92CA4" w:rsidRDefault="00F92CA4" w:rsidP="00C8714D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p w:rsidR="00F92CA4" w:rsidRDefault="00F92CA4" w:rsidP="00C8714D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p w:rsidR="00F92CA4" w:rsidRDefault="00F92CA4" w:rsidP="00C8714D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p w:rsidR="00C8714D" w:rsidRDefault="00C8714D" w:rsidP="00C8714D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sectPr w:rsidR="00C8714D" w:rsidSect="00A002DD">
      <w:headerReference w:type="default" r:id="rId8"/>
      <w:footerReference w:type="default" r:id="rId9"/>
      <w:pgSz w:w="12240" w:h="15840"/>
      <w:pgMar w:top="1440" w:right="540" w:bottom="1080" w:left="1440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00" w:rsidRDefault="00D20A00" w:rsidP="009B3406">
      <w:pPr>
        <w:spacing w:after="0" w:line="240" w:lineRule="auto"/>
      </w:pPr>
      <w:r>
        <w:separator/>
      </w:r>
    </w:p>
  </w:endnote>
  <w:endnote w:type="continuationSeparator" w:id="0">
    <w:p w:rsidR="00D20A00" w:rsidRDefault="00D20A00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D43875" w:rsidRDefault="00FA2A44" w:rsidP="00A002DD">
            <w:pPr>
              <w:pStyle w:val="Header"/>
              <w:jc w:val="center"/>
              <w:rPr>
                <w:lang w:val="hy-AM"/>
              </w:rPr>
            </w:pPr>
            <w:r>
              <w:t xml:space="preserve">                                           </w:t>
            </w:r>
            <w:r w:rsidR="00F92CA4">
              <w:rPr>
                <w:rFonts w:ascii="Sylfaen" w:hAnsi="Sylfaen"/>
                <w:b/>
                <w:bCs/>
                <w:color w:val="1F497D" w:themeColor="text2"/>
                <w:sz w:val="20"/>
                <w:lang w:val="hy-AM"/>
              </w:rPr>
              <w:t xml:space="preserve">                                                                                                                                    </w:t>
            </w:r>
            <w:r w:rsidR="00EB645B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PAGE </w:instrText>
            </w:r>
            <w:r w:rsidR="00EB645B">
              <w:rPr>
                <w:b/>
                <w:sz w:val="24"/>
                <w:szCs w:val="24"/>
              </w:rPr>
              <w:fldChar w:fldCharType="separate"/>
            </w:r>
            <w:r w:rsidR="004A04F4">
              <w:rPr>
                <w:b/>
                <w:noProof/>
                <w:lang w:val="hy-AM"/>
              </w:rPr>
              <w:t>1</w:t>
            </w:r>
            <w:r w:rsidR="00EB645B">
              <w:rPr>
                <w:b/>
                <w:sz w:val="24"/>
                <w:szCs w:val="24"/>
              </w:rPr>
              <w:fldChar w:fldCharType="end"/>
            </w:r>
            <w:r w:rsidR="00FC1E02" w:rsidRPr="00D43875">
              <w:rPr>
                <w:lang w:val="hy-AM"/>
              </w:rPr>
              <w:t xml:space="preserve"> </w:t>
            </w:r>
            <w:r w:rsidR="00FC1E02">
              <w:rPr>
                <w:rFonts w:ascii="Sylfaen" w:hAnsi="Sylfaen"/>
                <w:lang w:val="hy-AM"/>
              </w:rPr>
              <w:t>/</w:t>
            </w:r>
            <w:r w:rsidR="00FC1E02" w:rsidRPr="00D43875">
              <w:rPr>
                <w:lang w:val="hy-AM"/>
              </w:rPr>
              <w:t xml:space="preserve"> </w:t>
            </w:r>
            <w:r w:rsidR="00EB645B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NUMPAGES  </w:instrText>
            </w:r>
            <w:r w:rsidR="00EB645B">
              <w:rPr>
                <w:b/>
                <w:sz w:val="24"/>
                <w:szCs w:val="24"/>
              </w:rPr>
              <w:fldChar w:fldCharType="separate"/>
            </w:r>
            <w:r w:rsidR="004A04F4">
              <w:rPr>
                <w:b/>
                <w:noProof/>
                <w:lang w:val="hy-AM"/>
              </w:rPr>
              <w:t>3</w:t>
            </w:r>
            <w:r w:rsidR="00EB64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00" w:rsidRDefault="00D20A00" w:rsidP="009B3406">
      <w:pPr>
        <w:spacing w:after="0" w:line="240" w:lineRule="auto"/>
      </w:pPr>
      <w:r>
        <w:separator/>
      </w:r>
    </w:p>
  </w:footnote>
  <w:footnote w:type="continuationSeparator" w:id="0">
    <w:p w:rsidR="00D20A00" w:rsidRDefault="00D20A00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160"/>
    </w:tblGrid>
    <w:tr w:rsidR="00FC1E02" w:rsidRPr="00736154" w:rsidTr="00730D9D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584200</wp:posOffset>
                </wp:positionV>
                <wp:extent cx="985520" cy="347345"/>
                <wp:effectExtent l="19050" t="0" r="508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730D9D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160" w:type="dxa"/>
          <w:vMerge w:val="restart"/>
          <w:vAlign w:val="center"/>
        </w:tcPr>
        <w:p w:rsidR="00114087" w:rsidRPr="00114087" w:rsidRDefault="00114087" w:rsidP="0011408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114087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FA2A44" w:rsidRDefault="00FC1E02" w:rsidP="00FA2A44">
          <w:pPr>
            <w:pStyle w:val="Header"/>
            <w:jc w:val="center"/>
            <w:rPr>
              <w:rFonts w:ascii="Sylfaen" w:hAnsi="Sylfaen"/>
              <w:b/>
              <w:bCs/>
              <w:color w:val="1F497D"/>
              <w:sz w:val="18"/>
              <w:szCs w:val="41"/>
            </w:rPr>
          </w:pPr>
        </w:p>
      </w:tc>
    </w:tr>
    <w:tr w:rsidR="00FC1E02" w:rsidRPr="00FA2A44" w:rsidTr="00730D9D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FC1E02" w:rsidRPr="00272DE6" w:rsidRDefault="00114087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№5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FC1E02" w:rsidRPr="004600FB" w:rsidRDefault="00762B7B" w:rsidP="00FA2A44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ՔԼՈՐ</w:t>
          </w:r>
          <w:r w:rsidR="007C502D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ՏԵՂԱՓՈԽՈՂ</w:t>
          </w:r>
          <w:r w:rsidR="00B43D74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ՄԵՔԵՆԱՅԻ </w:t>
          </w:r>
          <w:r w:rsidR="00B43D74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ՎԱՐՈՐԴԻ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ՄԱՍՆԱԳԻՏԱԿԱՆ ՈՐԱԿԱՎՈՐՄԱՆ</w:t>
          </w:r>
          <w:r w:rsidR="00FA2A44" w:rsidRPr="00FA2A44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</w:t>
          </w:r>
          <w:r w:rsidR="00FA2A44">
            <w:rPr>
              <w:rFonts w:ascii="Sylfaen" w:hAnsi="Sylfaen"/>
              <w:b/>
              <w:bCs/>
              <w:color w:val="FFFFFF" w:themeColor="background1"/>
              <w:lang w:val="hy-AM"/>
            </w:rPr>
            <w:t>ՎԵՐԱՈՐ</w:t>
          </w:r>
          <w:r w:rsidR="00FA2A44" w:rsidRPr="00FA2A44">
            <w:rPr>
              <w:rFonts w:ascii="Sylfaen" w:hAnsi="Sylfaen"/>
              <w:b/>
              <w:bCs/>
              <w:color w:val="FFFFFF" w:themeColor="background1"/>
              <w:lang w:val="hy-AM"/>
            </w:rPr>
            <w:t>ԱԿԱՎՈՐՄԱՆ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ԳԻՏԵԼԻՔՆԵՐԻ ՍՏՈՒԳՄԱՆ ԱՇԽԱՏԱՆՔՆԵՐԻ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16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6DFA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3408F"/>
    <w:rsid w:val="000B14EC"/>
    <w:rsid w:val="000C2974"/>
    <w:rsid w:val="00114087"/>
    <w:rsid w:val="00114814"/>
    <w:rsid w:val="001643C4"/>
    <w:rsid w:val="00171637"/>
    <w:rsid w:val="001740A9"/>
    <w:rsid w:val="0018387D"/>
    <w:rsid w:val="0019171A"/>
    <w:rsid w:val="001938D6"/>
    <w:rsid w:val="00196BD2"/>
    <w:rsid w:val="001C18BA"/>
    <w:rsid w:val="001E26C7"/>
    <w:rsid w:val="002145D1"/>
    <w:rsid w:val="00221255"/>
    <w:rsid w:val="00246A2E"/>
    <w:rsid w:val="00266D1F"/>
    <w:rsid w:val="00272DE6"/>
    <w:rsid w:val="002734D2"/>
    <w:rsid w:val="002830A0"/>
    <w:rsid w:val="0028569E"/>
    <w:rsid w:val="002F59D9"/>
    <w:rsid w:val="00301A29"/>
    <w:rsid w:val="00312B06"/>
    <w:rsid w:val="00324A5E"/>
    <w:rsid w:val="00335936"/>
    <w:rsid w:val="00344EF5"/>
    <w:rsid w:val="00354F28"/>
    <w:rsid w:val="00370426"/>
    <w:rsid w:val="00390143"/>
    <w:rsid w:val="00393C6E"/>
    <w:rsid w:val="003D0E9D"/>
    <w:rsid w:val="003D1919"/>
    <w:rsid w:val="003E39AF"/>
    <w:rsid w:val="0041555B"/>
    <w:rsid w:val="004600FB"/>
    <w:rsid w:val="00473026"/>
    <w:rsid w:val="004A04F4"/>
    <w:rsid w:val="004A2EF7"/>
    <w:rsid w:val="004E2686"/>
    <w:rsid w:val="00501E34"/>
    <w:rsid w:val="0052137F"/>
    <w:rsid w:val="00564CBD"/>
    <w:rsid w:val="00576FDF"/>
    <w:rsid w:val="00580494"/>
    <w:rsid w:val="0058792D"/>
    <w:rsid w:val="005A4602"/>
    <w:rsid w:val="005F0951"/>
    <w:rsid w:val="00636FB9"/>
    <w:rsid w:val="00642589"/>
    <w:rsid w:val="00645CB6"/>
    <w:rsid w:val="00677FF1"/>
    <w:rsid w:val="0069708D"/>
    <w:rsid w:val="006B3FD6"/>
    <w:rsid w:val="006C50E5"/>
    <w:rsid w:val="006C5E65"/>
    <w:rsid w:val="006E6E73"/>
    <w:rsid w:val="00730D9D"/>
    <w:rsid w:val="00732CFB"/>
    <w:rsid w:val="0073314D"/>
    <w:rsid w:val="00762B7B"/>
    <w:rsid w:val="007678DF"/>
    <w:rsid w:val="007A2BA3"/>
    <w:rsid w:val="007C502D"/>
    <w:rsid w:val="007D1767"/>
    <w:rsid w:val="007E0CED"/>
    <w:rsid w:val="007E625C"/>
    <w:rsid w:val="007E780B"/>
    <w:rsid w:val="007F647F"/>
    <w:rsid w:val="007F7165"/>
    <w:rsid w:val="008107B2"/>
    <w:rsid w:val="008130C8"/>
    <w:rsid w:val="00820F97"/>
    <w:rsid w:val="00822F68"/>
    <w:rsid w:val="00823E4C"/>
    <w:rsid w:val="00837CB8"/>
    <w:rsid w:val="00885A00"/>
    <w:rsid w:val="00895D84"/>
    <w:rsid w:val="008D07FB"/>
    <w:rsid w:val="008F0CD0"/>
    <w:rsid w:val="008F644F"/>
    <w:rsid w:val="009048E8"/>
    <w:rsid w:val="00913207"/>
    <w:rsid w:val="00923E66"/>
    <w:rsid w:val="00924D00"/>
    <w:rsid w:val="00930CBA"/>
    <w:rsid w:val="0093138D"/>
    <w:rsid w:val="009479CE"/>
    <w:rsid w:val="00952CD0"/>
    <w:rsid w:val="00976756"/>
    <w:rsid w:val="009A793B"/>
    <w:rsid w:val="009B3406"/>
    <w:rsid w:val="009B6D95"/>
    <w:rsid w:val="00A002DD"/>
    <w:rsid w:val="00A176F7"/>
    <w:rsid w:val="00A5768C"/>
    <w:rsid w:val="00AD3122"/>
    <w:rsid w:val="00AF4C96"/>
    <w:rsid w:val="00B008FD"/>
    <w:rsid w:val="00B074CF"/>
    <w:rsid w:val="00B168C1"/>
    <w:rsid w:val="00B43D74"/>
    <w:rsid w:val="00B44256"/>
    <w:rsid w:val="00B53889"/>
    <w:rsid w:val="00B61110"/>
    <w:rsid w:val="00B73631"/>
    <w:rsid w:val="00B8382A"/>
    <w:rsid w:val="00B83FD4"/>
    <w:rsid w:val="00BA4674"/>
    <w:rsid w:val="00BC4A4F"/>
    <w:rsid w:val="00BD0A47"/>
    <w:rsid w:val="00BD26A3"/>
    <w:rsid w:val="00BF5D40"/>
    <w:rsid w:val="00C06160"/>
    <w:rsid w:val="00C112DB"/>
    <w:rsid w:val="00C32F42"/>
    <w:rsid w:val="00C55643"/>
    <w:rsid w:val="00C64949"/>
    <w:rsid w:val="00C70643"/>
    <w:rsid w:val="00C8714D"/>
    <w:rsid w:val="00CB4D48"/>
    <w:rsid w:val="00CE63A0"/>
    <w:rsid w:val="00D20A00"/>
    <w:rsid w:val="00D43875"/>
    <w:rsid w:val="00D80B1F"/>
    <w:rsid w:val="00D900E7"/>
    <w:rsid w:val="00D95824"/>
    <w:rsid w:val="00D969F5"/>
    <w:rsid w:val="00DA79EB"/>
    <w:rsid w:val="00DB019B"/>
    <w:rsid w:val="00DB01DD"/>
    <w:rsid w:val="00DD2E78"/>
    <w:rsid w:val="00DD3C1D"/>
    <w:rsid w:val="00DD58A6"/>
    <w:rsid w:val="00E17037"/>
    <w:rsid w:val="00E310AA"/>
    <w:rsid w:val="00E40A9A"/>
    <w:rsid w:val="00E56613"/>
    <w:rsid w:val="00EB645B"/>
    <w:rsid w:val="00EF030F"/>
    <w:rsid w:val="00F252BC"/>
    <w:rsid w:val="00F2628F"/>
    <w:rsid w:val="00F2630F"/>
    <w:rsid w:val="00F61D67"/>
    <w:rsid w:val="00F76AA4"/>
    <w:rsid w:val="00F92CA4"/>
    <w:rsid w:val="00F93A78"/>
    <w:rsid w:val="00FA0FD6"/>
    <w:rsid w:val="00FA2A44"/>
    <w:rsid w:val="00FB2F9C"/>
    <w:rsid w:val="00FC1E0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CFE6A-B10E-482B-8397-8797026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8387-F3A0-4C14-80AC-92B23A5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121</cp:revision>
  <cp:lastPrinted>2017-05-15T11:19:00Z</cp:lastPrinted>
  <dcterms:created xsi:type="dcterms:W3CDTF">2017-04-10T06:13:00Z</dcterms:created>
  <dcterms:modified xsi:type="dcterms:W3CDTF">2021-03-15T09:23:00Z</dcterms:modified>
</cp:coreProperties>
</file>