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74" w:rsidRPr="00555B74" w:rsidRDefault="00555B74" w:rsidP="00555B74">
      <w:pPr>
        <w:ind w:left="-270"/>
        <w:jc w:val="center"/>
        <w:rPr>
          <w:rFonts w:ascii="Sylfaen" w:hAnsi="Sylfaen" w:cstheme="minorHAnsi"/>
          <w:b/>
          <w:sz w:val="22"/>
          <w:szCs w:val="22"/>
          <w:lang w:val="af-ZA"/>
        </w:rPr>
      </w:pPr>
      <w:r w:rsidRPr="00555B74">
        <w:rPr>
          <w:rFonts w:ascii="Sylfaen" w:hAnsi="Sylfaen" w:cstheme="minorHAnsi"/>
          <w:b/>
          <w:sz w:val="22"/>
          <w:szCs w:val="22"/>
          <w:lang w:val="en-US"/>
        </w:rPr>
        <w:drawing>
          <wp:inline distT="0" distB="0" distL="0" distR="0" wp14:anchorId="7C0B043B" wp14:editId="4DAE3A3C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B74" w:rsidRPr="00555B74" w:rsidRDefault="00555B74" w:rsidP="00555B74">
      <w:pPr>
        <w:ind w:left="-270"/>
        <w:jc w:val="center"/>
        <w:rPr>
          <w:rFonts w:ascii="Sylfaen" w:hAnsi="Sylfaen" w:cstheme="minorHAnsi"/>
          <w:b/>
          <w:sz w:val="32"/>
          <w:szCs w:val="32"/>
          <w:lang w:val="af-ZA"/>
        </w:rPr>
      </w:pPr>
    </w:p>
    <w:p w:rsidR="00555B74" w:rsidRPr="00555B74" w:rsidRDefault="00A801E4" w:rsidP="00555B74">
      <w:pPr>
        <w:ind w:left="-270"/>
        <w:jc w:val="center"/>
        <w:rPr>
          <w:rFonts w:ascii="Sylfaen" w:hAnsi="Sylfaen" w:cstheme="minorHAnsi"/>
          <w:b/>
          <w:sz w:val="32"/>
          <w:szCs w:val="32"/>
          <w:lang w:val="af-ZA"/>
        </w:rPr>
      </w:pPr>
      <w:r>
        <w:rPr>
          <w:rFonts w:ascii="Sylfaen" w:hAnsi="Sylfaen" w:cstheme="minorHAnsi"/>
          <w:b/>
          <w:sz w:val="32"/>
          <w:szCs w:val="32"/>
          <w:lang w:val="hy-AM"/>
        </w:rPr>
        <w:t>ՀԵՏԱՔՐՔՐՈՒԹՅԱՆ</w:t>
      </w:r>
      <w:r w:rsidR="00555B74" w:rsidRPr="00555B74">
        <w:rPr>
          <w:rFonts w:ascii="Sylfaen" w:hAnsi="Sylfaen" w:cstheme="minorHAnsi"/>
          <w:b/>
          <w:sz w:val="32"/>
          <w:szCs w:val="32"/>
          <w:lang w:val="af-ZA"/>
        </w:rPr>
        <w:t xml:space="preserve"> ՀԱՅՏԵՐԻ ՆԵՐԿԱՅԱՑՄԱՆ</w:t>
      </w:r>
      <w:r w:rsidR="00555B74" w:rsidRPr="00555B74">
        <w:rPr>
          <w:rFonts w:ascii="Sylfaen" w:hAnsi="Sylfaen" w:cstheme="minorHAnsi"/>
          <w:b/>
          <w:sz w:val="32"/>
          <w:szCs w:val="32"/>
          <w:lang w:val="hy-AM"/>
        </w:rPr>
        <w:t xml:space="preserve"> </w:t>
      </w:r>
      <w:r w:rsidR="00555B74" w:rsidRPr="00555B74">
        <w:rPr>
          <w:rFonts w:ascii="Sylfaen" w:hAnsi="Sylfaen" w:cstheme="minorHAnsi"/>
          <w:b/>
          <w:sz w:val="32"/>
          <w:szCs w:val="32"/>
          <w:lang w:val="af-ZA"/>
        </w:rPr>
        <w:t>ՀՐԱՎԵՐ</w:t>
      </w:r>
    </w:p>
    <w:p w:rsidR="00752114" w:rsidRPr="00854471" w:rsidRDefault="00752114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752114" w:rsidRPr="002D7AB9" w:rsidRDefault="00414470" w:rsidP="00414470">
      <w:pPr>
        <w:ind w:left="-274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    </w:t>
      </w:r>
      <w:r w:rsidR="00814BB3" w:rsidRPr="002D7AB9">
        <w:rPr>
          <w:rFonts w:ascii="Sylfaen" w:hAnsi="Sylfaen" w:cstheme="minorHAnsi"/>
          <w:szCs w:val="24"/>
          <w:lang w:val="hy-AM"/>
        </w:rPr>
        <w:t>Հ</w:t>
      </w:r>
      <w:r w:rsidR="00445B68" w:rsidRPr="002D7AB9">
        <w:rPr>
          <w:rFonts w:ascii="Sylfaen" w:hAnsi="Sylfaen" w:cstheme="minorHAnsi"/>
          <w:szCs w:val="24"/>
          <w:lang w:val="hy-AM"/>
        </w:rPr>
        <w:t xml:space="preserve">այաստանի </w:t>
      </w:r>
      <w:r w:rsidR="00814BB3" w:rsidRPr="002D7AB9">
        <w:rPr>
          <w:rFonts w:ascii="Sylfaen" w:hAnsi="Sylfaen" w:cstheme="minorHAnsi"/>
          <w:szCs w:val="24"/>
          <w:lang w:val="hy-AM"/>
        </w:rPr>
        <w:t>Հ</w:t>
      </w:r>
      <w:r w:rsidR="00445B68" w:rsidRPr="002D7AB9">
        <w:rPr>
          <w:rFonts w:ascii="Sylfaen" w:hAnsi="Sylfaen" w:cstheme="minorHAnsi"/>
          <w:szCs w:val="24"/>
          <w:lang w:val="hy-AM"/>
        </w:rPr>
        <w:t>անրապետության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 և «Վեոլիա Գրուպ»-ի միջև կնքված </w:t>
      </w:r>
      <w:r w:rsidR="00BA7096" w:rsidRPr="002D7AB9">
        <w:rPr>
          <w:rFonts w:ascii="Sylfaen" w:hAnsi="Sylfaen" w:cstheme="minorHAnsi"/>
          <w:szCs w:val="24"/>
          <w:lang w:val="hy-AM"/>
        </w:rPr>
        <w:t>Վարձակալության</w:t>
      </w:r>
      <w:r w:rsidR="00F970B2" w:rsidRPr="002D7AB9">
        <w:rPr>
          <w:rFonts w:ascii="Sylfaen" w:hAnsi="Sylfaen" w:cstheme="minorHAnsi"/>
          <w:szCs w:val="24"/>
          <w:lang w:val="hy-AM"/>
        </w:rPr>
        <w:t xml:space="preserve"> պայմանագրի համաձայն «Վեոլիա Ջ</w:t>
      </w:r>
      <w:r w:rsidR="00814BB3" w:rsidRPr="002D7AB9">
        <w:rPr>
          <w:rFonts w:ascii="Sylfaen" w:hAnsi="Sylfaen" w:cstheme="minorHAnsi"/>
          <w:szCs w:val="24"/>
          <w:lang w:val="hy-AM"/>
        </w:rPr>
        <w:t>ուր» ՓԲԸ</w:t>
      </w:r>
      <w:r w:rsidR="00990EB1" w:rsidRPr="002D7AB9">
        <w:rPr>
          <w:rFonts w:ascii="Sylfaen" w:hAnsi="Sylfaen" w:cstheme="minorHAnsi"/>
          <w:szCs w:val="24"/>
          <w:lang w:val="hy-AM"/>
        </w:rPr>
        <w:t>-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ն (այսուհետ Ընկերություն) յուրաքանչյուր տարի </w:t>
      </w:r>
      <w:r w:rsidR="008D34F8" w:rsidRPr="002D7AB9">
        <w:rPr>
          <w:rFonts w:ascii="Sylfaen" w:hAnsi="Sylfaen" w:cstheme="minorHAnsi"/>
          <w:szCs w:val="24"/>
          <w:lang w:val="hy-AM"/>
        </w:rPr>
        <w:t xml:space="preserve">ՀՀ մարզերում և Երևան քաղաքում 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իրականացնում է </w:t>
      </w:r>
      <w:r w:rsidR="00942337" w:rsidRPr="002D7AB9">
        <w:rPr>
          <w:rFonts w:ascii="Sylfaen" w:hAnsi="Sylfaen" w:cstheme="minorHAnsi"/>
          <w:szCs w:val="24"/>
          <w:lang w:val="hy-AM"/>
        </w:rPr>
        <w:t>ջ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րամատակարարման </w:t>
      </w:r>
      <w:r w:rsidR="00942337" w:rsidRPr="002D7AB9">
        <w:rPr>
          <w:rFonts w:ascii="Sylfaen" w:hAnsi="Sylfaen" w:cstheme="minorHAnsi"/>
          <w:szCs w:val="24"/>
          <w:lang w:val="hy-AM"/>
        </w:rPr>
        <w:t>և ջ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րահեռացման համակարգերի բարելավման </w:t>
      </w:r>
      <w:r w:rsidR="00814BB3" w:rsidRPr="002D7AB9">
        <w:rPr>
          <w:rFonts w:ascii="Sylfaen" w:hAnsi="Sylfaen" w:cstheme="minorHAnsi"/>
          <w:b/>
          <w:szCs w:val="24"/>
          <w:lang w:val="hy-AM"/>
        </w:rPr>
        <w:t xml:space="preserve">«Պարտադիր </w:t>
      </w:r>
      <w:r w:rsidR="00942337" w:rsidRPr="002D7AB9">
        <w:rPr>
          <w:rFonts w:ascii="Sylfaen" w:hAnsi="Sylfaen" w:cstheme="minorHAnsi"/>
          <w:b/>
          <w:szCs w:val="24"/>
          <w:lang w:val="hy-AM"/>
        </w:rPr>
        <w:t>կապիտալ աշխատանքների ծ</w:t>
      </w:r>
      <w:r w:rsidR="00814BB3" w:rsidRPr="002D7AB9">
        <w:rPr>
          <w:rFonts w:ascii="Sylfaen" w:hAnsi="Sylfaen" w:cstheme="minorHAnsi"/>
          <w:b/>
          <w:szCs w:val="24"/>
          <w:lang w:val="hy-AM"/>
        </w:rPr>
        <w:t>րագիր»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 այսուհետ՝ (ՊԿԱԾ)</w:t>
      </w:r>
      <w:r w:rsidR="00942337" w:rsidRPr="002D7AB9">
        <w:rPr>
          <w:rFonts w:ascii="Sylfaen" w:hAnsi="Sylfaen" w:cstheme="minorHAnsi"/>
          <w:szCs w:val="24"/>
          <w:lang w:val="hy-AM"/>
        </w:rPr>
        <w:t>։ Ծրագրի շրջանակներում ջրամատակարարման և ջ</w:t>
      </w:r>
      <w:r w:rsidR="00752114" w:rsidRPr="002D7AB9">
        <w:rPr>
          <w:rFonts w:ascii="Sylfaen" w:hAnsi="Sylfaen" w:cstheme="minorHAnsi"/>
          <w:szCs w:val="24"/>
          <w:lang w:val="hy-AM"/>
        </w:rPr>
        <w:t>րահեռացման</w:t>
      </w:r>
      <w:r w:rsidR="00C560B3" w:rsidRPr="002D7AB9">
        <w:rPr>
          <w:rFonts w:ascii="Sylfaen" w:hAnsi="Sylfaen" w:cstheme="minorHAnsi"/>
          <w:szCs w:val="24"/>
          <w:lang w:val="hy-AM"/>
        </w:rPr>
        <w:t xml:space="preserve"> այսուհետ՝ (ՋևՋ)</w:t>
      </w:r>
      <w:r w:rsidR="00752114" w:rsidRPr="002D7AB9">
        <w:rPr>
          <w:rFonts w:ascii="Sylfaen" w:hAnsi="Sylfaen" w:cstheme="minorHAnsi"/>
          <w:szCs w:val="24"/>
          <w:lang w:val="hy-AM"/>
        </w:rPr>
        <w:t xml:space="preserve"> համակարգեր</w:t>
      </w:r>
      <w:r w:rsidR="00C560B3" w:rsidRPr="002D7AB9">
        <w:rPr>
          <w:rFonts w:ascii="Sylfaen" w:hAnsi="Sylfaen" w:cstheme="minorHAnsi"/>
          <w:szCs w:val="24"/>
          <w:lang w:val="hy-AM"/>
        </w:rPr>
        <w:t>ի կառուցման և</w:t>
      </w:r>
      <w:r w:rsidR="00752114" w:rsidRPr="002D7AB9">
        <w:rPr>
          <w:rFonts w:ascii="Sylfaen" w:hAnsi="Sylfaen" w:cstheme="minorHAnsi"/>
          <w:szCs w:val="24"/>
          <w:lang w:val="hy-AM"/>
        </w:rPr>
        <w:t xml:space="preserve"> վերակառուցման</w:t>
      </w:r>
      <w:r w:rsidR="00C560B3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814BB3" w:rsidRPr="002D7AB9">
        <w:rPr>
          <w:rFonts w:ascii="Sylfaen" w:hAnsi="Sylfaen" w:cstheme="minorHAnsi"/>
          <w:szCs w:val="24"/>
          <w:lang w:val="hy-AM"/>
        </w:rPr>
        <w:t>շինարարական ա</w:t>
      </w:r>
      <w:r w:rsidR="00445B68" w:rsidRPr="002D7AB9">
        <w:rPr>
          <w:rFonts w:ascii="Sylfaen" w:hAnsi="Sylfaen" w:cstheme="minorHAnsi"/>
          <w:szCs w:val="24"/>
          <w:lang w:val="hy-AM"/>
        </w:rPr>
        <w:t>շխատանքների</w:t>
      </w:r>
      <w:r w:rsidR="00752114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752114" w:rsidRPr="002D7AB9">
        <w:rPr>
          <w:rFonts w:ascii="Sylfaen" w:hAnsi="Sylfaen" w:cstheme="minorHAnsi"/>
          <w:color w:val="000000" w:themeColor="text1"/>
          <w:szCs w:val="24"/>
          <w:lang w:val="hy-AM"/>
        </w:rPr>
        <w:t xml:space="preserve">որակի </w:t>
      </w:r>
      <w:r w:rsidR="004617F9" w:rsidRPr="002D7AB9">
        <w:rPr>
          <w:rFonts w:ascii="Sylfaen" w:hAnsi="Sylfaen" w:cstheme="minorHAnsi"/>
          <w:color w:val="000000" w:themeColor="text1"/>
          <w:szCs w:val="24"/>
          <w:lang w:val="hy-AM"/>
        </w:rPr>
        <w:t xml:space="preserve">և ծավալի </w:t>
      </w:r>
      <w:r w:rsidR="00603E2B" w:rsidRPr="002D7AB9">
        <w:rPr>
          <w:rFonts w:ascii="Sylfaen" w:hAnsi="Sylfaen" w:cstheme="minorHAnsi"/>
          <w:b/>
          <w:color w:val="000000" w:themeColor="text1"/>
          <w:szCs w:val="24"/>
          <w:lang w:val="hy-AM"/>
        </w:rPr>
        <w:t>Տ</w:t>
      </w:r>
      <w:r w:rsidR="00752114" w:rsidRPr="002D7AB9">
        <w:rPr>
          <w:rFonts w:ascii="Sylfaen" w:hAnsi="Sylfaen" w:cstheme="minorHAnsi"/>
          <w:b/>
          <w:szCs w:val="24"/>
          <w:lang w:val="hy-AM"/>
        </w:rPr>
        <w:t xml:space="preserve">եխնիկական </w:t>
      </w:r>
      <w:r w:rsidR="0011230F" w:rsidRPr="002D7AB9">
        <w:rPr>
          <w:rFonts w:ascii="Sylfaen" w:hAnsi="Sylfaen" w:cstheme="minorHAnsi"/>
          <w:b/>
          <w:szCs w:val="24"/>
          <w:lang w:val="hy-AM"/>
        </w:rPr>
        <w:t>հսկողության</w:t>
      </w:r>
      <w:r w:rsidR="00814BB3" w:rsidRPr="002D7AB9">
        <w:rPr>
          <w:rFonts w:ascii="Sylfaen" w:hAnsi="Sylfaen" w:cstheme="minorHAnsi"/>
          <w:b/>
          <w:szCs w:val="24"/>
          <w:lang w:val="hy-AM"/>
        </w:rPr>
        <w:t xml:space="preserve"> </w:t>
      </w:r>
      <w:r w:rsidR="00752114" w:rsidRPr="002D7AB9">
        <w:rPr>
          <w:rFonts w:ascii="Sylfaen" w:hAnsi="Sylfaen" w:cstheme="minorHAnsi"/>
          <w:b/>
          <w:szCs w:val="24"/>
          <w:lang w:val="hy-AM"/>
        </w:rPr>
        <w:t>ծառայությունների մատուցման</w:t>
      </w:r>
      <w:r w:rsidR="00752114" w:rsidRPr="002D7AB9">
        <w:rPr>
          <w:rFonts w:ascii="Sylfaen" w:hAnsi="Sylfaen" w:cstheme="minorHAnsi"/>
          <w:szCs w:val="24"/>
          <w:lang w:val="hy-AM"/>
        </w:rPr>
        <w:t xml:space="preserve"> նպատակով Ըն</w:t>
      </w:r>
      <w:r w:rsidR="00C560B3" w:rsidRPr="002D7AB9">
        <w:rPr>
          <w:rFonts w:ascii="Sylfaen" w:hAnsi="Sylfaen" w:cstheme="minorHAnsi"/>
          <w:szCs w:val="24"/>
          <w:lang w:val="hy-AM"/>
        </w:rPr>
        <w:t>կերությունը կազմակերպում է նախա</w:t>
      </w:r>
      <w:r w:rsidR="00752114" w:rsidRPr="002D7AB9">
        <w:rPr>
          <w:rFonts w:ascii="Sylfaen" w:hAnsi="Sylfaen" w:cstheme="minorHAnsi"/>
          <w:szCs w:val="24"/>
          <w:lang w:val="hy-AM"/>
        </w:rPr>
        <w:t>որակավորման մրցույթ և հրավիրում է իրավասու և փորձառու շահագրգիռ կազմակերպություններին ներ</w:t>
      </w:r>
      <w:r w:rsidR="00445B68" w:rsidRPr="002D7AB9">
        <w:rPr>
          <w:rFonts w:ascii="Sylfaen" w:hAnsi="Sylfaen" w:cstheme="minorHAnsi"/>
          <w:szCs w:val="24"/>
          <w:lang w:val="hy-AM"/>
        </w:rPr>
        <w:t xml:space="preserve">կայացնել </w:t>
      </w:r>
      <w:r w:rsidR="00C35F7A" w:rsidRPr="002D7AB9">
        <w:rPr>
          <w:rFonts w:ascii="Sylfaen" w:hAnsi="Sylfaen" w:cstheme="minorHAnsi"/>
          <w:szCs w:val="24"/>
          <w:lang w:val="hy-AM"/>
        </w:rPr>
        <w:t xml:space="preserve">հետաքրքրության </w:t>
      </w:r>
      <w:r w:rsidR="00445B68" w:rsidRPr="002D7AB9">
        <w:rPr>
          <w:rFonts w:ascii="Sylfaen" w:hAnsi="Sylfaen" w:cstheme="minorHAnsi"/>
          <w:szCs w:val="24"/>
          <w:lang w:val="hy-AM"/>
        </w:rPr>
        <w:t>հայտեր։</w:t>
      </w:r>
    </w:p>
    <w:p w:rsidR="007721AF" w:rsidRPr="002D7AB9" w:rsidRDefault="007721AF" w:rsidP="007721AF">
      <w:pPr>
        <w:ind w:left="-274"/>
        <w:rPr>
          <w:rFonts w:ascii="Sylfaen" w:hAnsi="Sylfaen" w:cstheme="minorHAnsi"/>
          <w:szCs w:val="24"/>
          <w:lang w:val="hy-AM"/>
        </w:rPr>
      </w:pPr>
    </w:p>
    <w:p w:rsidR="00FC6357" w:rsidRPr="002D7AB9" w:rsidRDefault="00414470" w:rsidP="00414470">
      <w:pPr>
        <w:ind w:left="-274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b/>
          <w:szCs w:val="24"/>
          <w:lang w:val="hy-AM"/>
        </w:rPr>
        <w:t xml:space="preserve">     </w:t>
      </w:r>
      <w:r w:rsidR="00C560B3" w:rsidRPr="002D7AB9">
        <w:rPr>
          <w:rFonts w:ascii="Sylfaen" w:hAnsi="Sylfaen" w:cstheme="minorHAnsi"/>
          <w:b/>
          <w:szCs w:val="24"/>
          <w:u w:val="single"/>
          <w:lang w:val="hy-AM"/>
        </w:rPr>
        <w:t>Ջ</w:t>
      </w:r>
      <w:r w:rsidR="005353BB" w:rsidRPr="002D7AB9">
        <w:rPr>
          <w:rFonts w:ascii="Sylfaen" w:hAnsi="Sylfaen" w:cstheme="minorHAnsi"/>
          <w:b/>
          <w:szCs w:val="24"/>
          <w:u w:val="single"/>
          <w:lang w:val="hy-AM"/>
        </w:rPr>
        <w:t xml:space="preserve">րամատակարարման և </w:t>
      </w:r>
      <w:r w:rsidR="00C560B3" w:rsidRPr="002D7AB9">
        <w:rPr>
          <w:rFonts w:ascii="Sylfaen" w:hAnsi="Sylfaen" w:cstheme="minorHAnsi"/>
          <w:b/>
          <w:szCs w:val="24"/>
          <w:u w:val="single"/>
          <w:lang w:val="hy-AM"/>
        </w:rPr>
        <w:t>Ջ</w:t>
      </w:r>
      <w:r w:rsidR="005353BB" w:rsidRPr="002D7AB9">
        <w:rPr>
          <w:rFonts w:ascii="Sylfaen" w:hAnsi="Sylfaen" w:cstheme="minorHAnsi"/>
          <w:b/>
          <w:szCs w:val="24"/>
          <w:u w:val="single"/>
          <w:lang w:val="hy-AM"/>
        </w:rPr>
        <w:t>րահեռացման</w:t>
      </w:r>
      <w:r w:rsidR="00C560B3" w:rsidRPr="002D7AB9">
        <w:rPr>
          <w:rFonts w:ascii="Sylfaen" w:hAnsi="Sylfaen" w:cstheme="minorHAnsi"/>
          <w:b/>
          <w:szCs w:val="24"/>
          <w:u w:val="single"/>
          <w:lang w:val="hy-AM"/>
        </w:rPr>
        <w:t xml:space="preserve"> համակարգերում</w:t>
      </w:r>
      <w:r w:rsidR="00C560B3" w:rsidRPr="002D7AB9">
        <w:rPr>
          <w:rFonts w:ascii="Sylfaen" w:hAnsi="Sylfaen" w:cstheme="minorHAnsi"/>
          <w:b/>
          <w:szCs w:val="24"/>
          <w:lang w:val="hy-AM"/>
        </w:rPr>
        <w:t xml:space="preserve"> </w:t>
      </w:r>
      <w:r w:rsidR="00442823" w:rsidRPr="002D7AB9">
        <w:rPr>
          <w:rFonts w:ascii="Sylfaen" w:hAnsi="Sylfaen" w:cstheme="minorHAnsi"/>
          <w:szCs w:val="24"/>
          <w:lang w:val="hy-AM"/>
        </w:rPr>
        <w:t xml:space="preserve">իրականացվող </w:t>
      </w:r>
      <w:r w:rsidR="005B47BE" w:rsidRPr="002D7AB9">
        <w:rPr>
          <w:rFonts w:ascii="Sylfaen" w:hAnsi="Sylfaen" w:cstheme="minorHAnsi"/>
          <w:szCs w:val="24"/>
          <w:lang w:val="hy-AM"/>
        </w:rPr>
        <w:t>ներդրումների</w:t>
      </w:r>
      <w:r w:rsidR="00442823" w:rsidRPr="002D7AB9">
        <w:rPr>
          <w:rFonts w:ascii="Sylfaen" w:hAnsi="Sylfaen" w:cstheme="minorHAnsi"/>
          <w:szCs w:val="24"/>
          <w:lang w:val="hy-AM"/>
        </w:rPr>
        <w:t xml:space="preserve"> շրջանակներում նախատեսվող ծառայությունները</w:t>
      </w:r>
      <w:r w:rsidR="00C560B3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4617F9" w:rsidRPr="002D7AB9">
        <w:rPr>
          <w:rFonts w:ascii="Sylfaen" w:hAnsi="Sylfaen" w:cstheme="minorHAnsi"/>
          <w:szCs w:val="24"/>
          <w:lang w:val="hy-AM"/>
        </w:rPr>
        <w:t>ներառում են</w:t>
      </w:r>
      <w:r w:rsidR="00C560B3" w:rsidRPr="002D7AB9">
        <w:rPr>
          <w:rFonts w:ascii="Sylfaen" w:hAnsi="Sylfaen" w:cstheme="minorHAnsi"/>
          <w:szCs w:val="24"/>
          <w:lang w:val="hy-AM"/>
        </w:rPr>
        <w:t xml:space="preserve">՝ </w:t>
      </w:r>
      <w:r w:rsidRPr="002D7AB9">
        <w:rPr>
          <w:rFonts w:ascii="Sylfaen" w:hAnsi="Sylfaen" w:cstheme="minorHAnsi"/>
          <w:szCs w:val="24"/>
          <w:lang w:val="hy-AM"/>
        </w:rPr>
        <w:t xml:space="preserve">ջրամատակարարման և ջրահեռացման </w:t>
      </w:r>
      <w:r w:rsidR="005353BB" w:rsidRPr="002D7AB9">
        <w:rPr>
          <w:rFonts w:ascii="Sylfaen" w:hAnsi="Sylfaen" w:cstheme="minorHAnsi"/>
          <w:szCs w:val="24"/>
          <w:lang w:val="hy-AM"/>
        </w:rPr>
        <w:t>համակարգերի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C560B3" w:rsidRPr="002D7AB9">
        <w:rPr>
          <w:rFonts w:ascii="Sylfaen" w:hAnsi="Sylfaen" w:cstheme="minorHAnsi"/>
          <w:szCs w:val="24"/>
          <w:lang w:val="hy-AM"/>
        </w:rPr>
        <w:t xml:space="preserve">արտաքին ցանցերի, գլխամասային կառուցվածքների և ենթակառուցվածքների, մասնավորապես՝ կապտաժների, դրենաժային համակարգերի, ջրհավաք ավազանների, օրվա կարգավորիչ ջրամբարների (ՕԿՋ), խորքային հորերի, գետընդունիչների, քլորակայանների (ներառյալ սարքավորումների </w:t>
      </w:r>
      <w:r w:rsidR="00AC1E74" w:rsidRPr="002D7AB9">
        <w:rPr>
          <w:rFonts w:ascii="Sylfaen" w:hAnsi="Sylfaen" w:cstheme="minorHAnsi"/>
          <w:szCs w:val="24"/>
          <w:lang w:val="hy-AM"/>
        </w:rPr>
        <w:t>և անվտանգության համակարգերի մոնտաժ</w:t>
      </w:r>
      <w:r w:rsidR="00C560B3" w:rsidRPr="002D7AB9">
        <w:rPr>
          <w:rFonts w:ascii="Sylfaen" w:hAnsi="Sylfaen" w:cstheme="minorHAnsi"/>
          <w:szCs w:val="24"/>
          <w:lang w:val="hy-AM"/>
        </w:rPr>
        <w:t>), պոմպակայանների (ներառյալ սարքավորումների մոնտաժ)</w:t>
      </w:r>
      <w:r w:rsidR="005353BB" w:rsidRPr="002D7AB9">
        <w:rPr>
          <w:rFonts w:ascii="Sylfaen" w:hAnsi="Sylfaen" w:cstheme="minorHAnsi"/>
          <w:szCs w:val="24"/>
          <w:lang w:val="hy-AM"/>
        </w:rPr>
        <w:t xml:space="preserve"> ինչպես նաև</w:t>
      </w:r>
      <w:r w:rsidR="00C560B3" w:rsidRPr="002D7AB9">
        <w:rPr>
          <w:rFonts w:ascii="Sylfaen" w:hAnsi="Sylfaen" w:cstheme="minorHAnsi"/>
          <w:szCs w:val="24"/>
          <w:lang w:val="hy-AM"/>
        </w:rPr>
        <w:t xml:space="preserve"> բաշխիչ ցանցերի,</w:t>
      </w:r>
      <w:r w:rsidR="005353BB" w:rsidRPr="002D7AB9">
        <w:rPr>
          <w:rFonts w:ascii="Sylfaen" w:hAnsi="Sylfaen" w:cstheme="minorHAnsi"/>
          <w:szCs w:val="24"/>
          <w:lang w:val="hy-AM"/>
        </w:rPr>
        <w:t xml:space="preserve"> ջրի և կոյուղու մաքրման կայանների,</w:t>
      </w:r>
      <w:r w:rsidR="00445B68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717237" w:rsidRPr="002D7AB9">
        <w:rPr>
          <w:rFonts w:ascii="Sylfaen" w:hAnsi="Sylfaen" w:cstheme="minorHAnsi"/>
          <w:szCs w:val="24"/>
          <w:lang w:val="hy-AM"/>
        </w:rPr>
        <w:t xml:space="preserve">դիտահորերի և ջրաչափական հանգույցների, </w:t>
      </w:r>
      <w:r w:rsidR="00CC717C" w:rsidRPr="002D7AB9">
        <w:rPr>
          <w:rFonts w:ascii="Sylfaen" w:hAnsi="Sylfaen" w:cstheme="minorHAnsi"/>
          <w:szCs w:val="24"/>
          <w:lang w:val="hy-AM"/>
        </w:rPr>
        <w:t>տեխնիկական պայմանների համաձայն՝ ջրամատակարարման,</w:t>
      </w:r>
      <w:r w:rsidR="000822DD" w:rsidRPr="002D7AB9">
        <w:rPr>
          <w:rFonts w:ascii="Sylfaen" w:hAnsi="Sylfaen" w:cstheme="minorHAnsi"/>
          <w:szCs w:val="24"/>
          <w:lang w:val="hy-AM"/>
        </w:rPr>
        <w:t xml:space="preserve"> ջրահեռացման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0822DD" w:rsidRPr="002D7AB9">
        <w:rPr>
          <w:rFonts w:ascii="Sylfaen" w:hAnsi="Sylfaen" w:cstheme="minorHAnsi"/>
          <w:szCs w:val="24"/>
          <w:lang w:val="hy-AM"/>
        </w:rPr>
        <w:t xml:space="preserve">կենցաղային </w:t>
      </w:r>
      <w:r w:rsidR="00442823" w:rsidRPr="002D7AB9">
        <w:rPr>
          <w:rFonts w:ascii="Sylfaen" w:hAnsi="Sylfaen" w:cstheme="minorHAnsi"/>
          <w:szCs w:val="24"/>
          <w:lang w:val="hy-AM"/>
        </w:rPr>
        <w:t>և հեղեղատար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C00839" w:rsidRPr="002D7AB9">
        <w:rPr>
          <w:rFonts w:ascii="Sylfaen" w:hAnsi="Sylfaen" w:cstheme="minorHAnsi"/>
          <w:szCs w:val="24"/>
          <w:lang w:val="hy-AM"/>
        </w:rPr>
        <w:t>անհատական</w:t>
      </w:r>
      <w:r w:rsidR="00814BB3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442823" w:rsidRPr="002D7AB9">
        <w:rPr>
          <w:rFonts w:ascii="Sylfaen" w:hAnsi="Sylfaen" w:cstheme="minorHAnsi"/>
          <w:szCs w:val="24"/>
          <w:lang w:val="hy-AM"/>
        </w:rPr>
        <w:t>համակարգերի,</w:t>
      </w:r>
      <w:r w:rsidR="00514BBA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C560B3" w:rsidRPr="002D7AB9">
        <w:rPr>
          <w:rFonts w:ascii="Sylfaen" w:hAnsi="Sylfaen" w:cstheme="minorHAnsi"/>
          <w:szCs w:val="24"/>
          <w:lang w:val="hy-AM"/>
        </w:rPr>
        <w:t>Ընկերության վարչական շենք-շինությունների</w:t>
      </w:r>
      <w:r w:rsidR="00CC717C" w:rsidRPr="002D7AB9">
        <w:rPr>
          <w:rFonts w:ascii="Sylfaen" w:hAnsi="Sylfaen" w:cstheme="minorHAnsi"/>
          <w:szCs w:val="24"/>
          <w:lang w:val="hy-AM"/>
        </w:rPr>
        <w:t>՝</w:t>
      </w:r>
      <w:r w:rsidRPr="002D7AB9">
        <w:rPr>
          <w:rFonts w:ascii="Sylfaen" w:hAnsi="Sylfaen" w:cstheme="minorHAnsi"/>
          <w:szCs w:val="24"/>
          <w:lang w:val="hy-AM"/>
        </w:rPr>
        <w:t xml:space="preserve"> </w:t>
      </w:r>
      <w:r w:rsidR="005353BB" w:rsidRPr="002D7AB9">
        <w:rPr>
          <w:rFonts w:ascii="Sylfaen" w:hAnsi="Sylfaen" w:cstheme="minorHAnsi"/>
          <w:szCs w:val="24"/>
          <w:lang w:val="hy-AM"/>
        </w:rPr>
        <w:t>նորոգման, կառուցման</w:t>
      </w:r>
      <w:r w:rsidR="00717237" w:rsidRPr="002D7AB9">
        <w:rPr>
          <w:rFonts w:ascii="Sylfaen" w:hAnsi="Sylfaen" w:cstheme="minorHAnsi"/>
          <w:szCs w:val="24"/>
          <w:lang w:val="hy-AM"/>
        </w:rPr>
        <w:t xml:space="preserve">, </w:t>
      </w:r>
      <w:r w:rsidR="005353BB" w:rsidRPr="002D7AB9">
        <w:rPr>
          <w:rFonts w:ascii="Sylfaen" w:hAnsi="Sylfaen" w:cstheme="minorHAnsi"/>
          <w:szCs w:val="24"/>
          <w:lang w:val="hy-AM"/>
        </w:rPr>
        <w:t>վերակառուցման</w:t>
      </w:r>
      <w:r w:rsidR="00717237" w:rsidRPr="002D7AB9">
        <w:rPr>
          <w:rFonts w:ascii="Sylfaen" w:hAnsi="Sylfaen" w:cstheme="minorHAnsi"/>
          <w:szCs w:val="24"/>
          <w:lang w:val="hy-AM"/>
        </w:rPr>
        <w:t xml:space="preserve"> և դրանց հետ փոխկապակցված էլեկտրամոնտաժման, </w:t>
      </w:r>
      <w:r w:rsidR="009B165D" w:rsidRPr="002D7AB9">
        <w:rPr>
          <w:rFonts w:ascii="Sylfaen" w:hAnsi="Sylfaen" w:cstheme="minorHAnsi"/>
          <w:szCs w:val="24"/>
          <w:lang w:val="hy-AM"/>
        </w:rPr>
        <w:t>ասֆալտ բետոնյա ծածկույթի</w:t>
      </w:r>
      <w:r w:rsidR="004617F9" w:rsidRPr="002D7AB9">
        <w:rPr>
          <w:rFonts w:ascii="Sylfaen" w:hAnsi="Sylfaen" w:cstheme="minorHAnsi"/>
          <w:szCs w:val="24"/>
          <w:lang w:val="hy-AM"/>
        </w:rPr>
        <w:t xml:space="preserve">, վթարավերականգնողական աշխատանքներից հետո իրականացված ասֆալտ բետոնյա ծածկույթի </w:t>
      </w:r>
      <w:r w:rsidR="005B47BE" w:rsidRPr="002D7AB9">
        <w:rPr>
          <w:rFonts w:ascii="Sylfaen" w:hAnsi="Sylfaen" w:cstheme="minorHAnsi"/>
          <w:szCs w:val="24"/>
          <w:lang w:val="hy-AM"/>
        </w:rPr>
        <w:t>շինաշխատանքների</w:t>
      </w:r>
      <w:r w:rsidR="005353BB" w:rsidRPr="002D7AB9">
        <w:rPr>
          <w:rFonts w:ascii="Sylfaen" w:hAnsi="Sylfaen" w:cstheme="minorHAnsi"/>
          <w:szCs w:val="24"/>
          <w:lang w:val="hy-AM"/>
        </w:rPr>
        <w:t xml:space="preserve"> որակի </w:t>
      </w:r>
      <w:r w:rsidR="004617F9" w:rsidRPr="002D7AB9">
        <w:rPr>
          <w:rFonts w:ascii="Sylfaen" w:hAnsi="Sylfaen" w:cstheme="minorHAnsi"/>
          <w:szCs w:val="24"/>
          <w:lang w:val="hy-AM"/>
        </w:rPr>
        <w:t xml:space="preserve">և ծավալի </w:t>
      </w:r>
      <w:r w:rsidR="005353BB" w:rsidRPr="002D7AB9">
        <w:rPr>
          <w:rFonts w:ascii="Sylfaen" w:hAnsi="Sylfaen" w:cstheme="minorHAnsi"/>
          <w:szCs w:val="24"/>
          <w:lang w:val="hy-AM"/>
        </w:rPr>
        <w:t>տեխնիկական</w:t>
      </w:r>
      <w:r w:rsidR="0011230F" w:rsidRPr="002D7AB9">
        <w:rPr>
          <w:rFonts w:ascii="Sylfaen" w:hAnsi="Sylfaen" w:cstheme="minorHAnsi"/>
          <w:szCs w:val="24"/>
          <w:lang w:val="hy-AM"/>
        </w:rPr>
        <w:t xml:space="preserve"> հսկողություն</w:t>
      </w:r>
      <w:r w:rsidR="005353BB" w:rsidRPr="002D7AB9">
        <w:rPr>
          <w:rFonts w:ascii="Sylfaen" w:hAnsi="Sylfaen" w:cstheme="minorHAnsi"/>
          <w:szCs w:val="24"/>
          <w:lang w:val="hy-AM"/>
        </w:rPr>
        <w:t>։</w:t>
      </w:r>
    </w:p>
    <w:p w:rsidR="00414470" w:rsidRPr="002D7AB9" w:rsidRDefault="00414470" w:rsidP="00414470">
      <w:pPr>
        <w:ind w:left="-274"/>
        <w:rPr>
          <w:rFonts w:ascii="Sylfaen" w:hAnsi="Sylfaen" w:cstheme="minorHAnsi"/>
          <w:szCs w:val="24"/>
          <w:lang w:val="hy-AM"/>
        </w:rPr>
      </w:pPr>
    </w:p>
    <w:p w:rsidR="00F87761" w:rsidRPr="002D7AB9" w:rsidRDefault="00414470" w:rsidP="00445B68">
      <w:pPr>
        <w:ind w:left="-274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    </w:t>
      </w:r>
      <w:r w:rsidR="00FD400B" w:rsidRPr="002D7AB9">
        <w:rPr>
          <w:rFonts w:ascii="Sylfaen" w:hAnsi="Sylfaen" w:cstheme="minorHAnsi"/>
          <w:szCs w:val="24"/>
          <w:lang w:val="hy-AM"/>
        </w:rPr>
        <w:t xml:space="preserve">Մրցույթին շահագրգռվածության հայտ ներկայացրած կազմակերպությունները պետք է ունենան համապատասխան աշխատանքներ իրականացնելու արտոնագիր, փորձառություն և </w:t>
      </w:r>
      <w:r w:rsidR="00DA7691" w:rsidRPr="002D7AB9">
        <w:rPr>
          <w:rFonts w:ascii="Sylfaen" w:hAnsi="Sylfaen" w:cstheme="minorHAnsi"/>
          <w:szCs w:val="24"/>
          <w:lang w:val="hy-AM"/>
        </w:rPr>
        <w:t>կարողություն</w:t>
      </w:r>
      <w:r w:rsidR="00FD400B" w:rsidRPr="002D7AB9">
        <w:rPr>
          <w:rFonts w:ascii="Sylfaen" w:hAnsi="Sylfaen" w:cstheme="minorHAnsi"/>
          <w:szCs w:val="24"/>
          <w:lang w:val="hy-AM"/>
        </w:rPr>
        <w:t xml:space="preserve">։ </w:t>
      </w:r>
      <w:r w:rsidR="00DA7691" w:rsidRPr="002D7AB9">
        <w:rPr>
          <w:rFonts w:ascii="Sylfaen" w:hAnsi="Sylfaen" w:cstheme="minorHAnsi"/>
          <w:szCs w:val="24"/>
          <w:lang w:val="hy-AM"/>
        </w:rPr>
        <w:t>Գործառույթները պետք է իրականացվեն</w:t>
      </w:r>
      <w:r w:rsidR="00445B68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6B21E6" w:rsidRPr="002D7AB9">
        <w:rPr>
          <w:rFonts w:ascii="Sylfaen" w:hAnsi="Sylfaen" w:cstheme="minorHAnsi"/>
          <w:szCs w:val="24"/>
          <w:lang w:val="hy-AM"/>
        </w:rPr>
        <w:t>անկողմնակալորեն</w:t>
      </w:r>
      <w:r w:rsidR="00DA7691" w:rsidRPr="002D7AB9">
        <w:rPr>
          <w:rFonts w:ascii="Sylfaen" w:hAnsi="Sylfaen" w:cstheme="minorHAnsi"/>
          <w:szCs w:val="24"/>
          <w:lang w:val="hy-AM"/>
        </w:rPr>
        <w:t xml:space="preserve">՝ </w:t>
      </w:r>
      <w:r w:rsidR="00FD400B" w:rsidRPr="002D7AB9">
        <w:rPr>
          <w:rFonts w:ascii="Sylfaen" w:hAnsi="Sylfaen" w:cstheme="minorHAnsi"/>
          <w:szCs w:val="24"/>
          <w:lang w:val="hy-AM"/>
        </w:rPr>
        <w:t xml:space="preserve">մասնագիտական ընդունված ստանդարտներին </w:t>
      </w:r>
      <w:r w:rsidR="00DA7691" w:rsidRPr="002D7AB9">
        <w:rPr>
          <w:rFonts w:ascii="Sylfaen" w:hAnsi="Sylfaen" w:cstheme="minorHAnsi"/>
          <w:szCs w:val="24"/>
          <w:lang w:val="hy-AM"/>
        </w:rPr>
        <w:t xml:space="preserve">և ստանձնած պարտավորություններին </w:t>
      </w:r>
      <w:r w:rsidR="00FD400B" w:rsidRPr="002D7AB9">
        <w:rPr>
          <w:rFonts w:ascii="Sylfaen" w:hAnsi="Sylfaen" w:cstheme="minorHAnsi"/>
          <w:szCs w:val="24"/>
          <w:lang w:val="hy-AM"/>
        </w:rPr>
        <w:t>համապատասխան</w:t>
      </w:r>
      <w:r w:rsidR="00DA7691" w:rsidRPr="002D7AB9">
        <w:rPr>
          <w:rFonts w:ascii="Sylfaen" w:hAnsi="Sylfaen" w:cstheme="minorHAnsi"/>
          <w:szCs w:val="24"/>
          <w:lang w:val="hy-AM"/>
        </w:rPr>
        <w:t xml:space="preserve">։ </w:t>
      </w:r>
    </w:p>
    <w:p w:rsidR="00445B68" w:rsidRPr="002D7AB9" w:rsidRDefault="00445B68" w:rsidP="00445B68">
      <w:pPr>
        <w:ind w:left="-274"/>
        <w:rPr>
          <w:rFonts w:ascii="Sylfaen" w:hAnsi="Sylfaen" w:cstheme="minorHAnsi"/>
          <w:szCs w:val="24"/>
          <w:lang w:val="hy-AM"/>
        </w:rPr>
      </w:pPr>
    </w:p>
    <w:p w:rsidR="00FC6357" w:rsidRPr="002D7AB9" w:rsidRDefault="008440EC" w:rsidP="0078556C">
      <w:pPr>
        <w:ind w:left="-270"/>
        <w:rPr>
          <w:rFonts w:ascii="Sylfaen" w:hAnsi="Sylfaen" w:cstheme="minorHAnsi"/>
          <w:b/>
          <w:szCs w:val="24"/>
          <w:u w:val="single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lastRenderedPageBreak/>
        <w:t xml:space="preserve">     </w:t>
      </w:r>
      <w:r w:rsidR="00C8604C" w:rsidRPr="002D7AB9">
        <w:rPr>
          <w:rFonts w:ascii="Sylfaen" w:hAnsi="Sylfaen" w:cstheme="minorHAnsi"/>
          <w:b/>
          <w:szCs w:val="24"/>
          <w:u w:val="single"/>
          <w:lang w:val="hy-AM"/>
        </w:rPr>
        <w:t xml:space="preserve">Որակի </w:t>
      </w:r>
      <w:r w:rsidR="004617F9" w:rsidRPr="002D7AB9">
        <w:rPr>
          <w:rFonts w:ascii="Sylfaen" w:hAnsi="Sylfaen" w:cstheme="minorHAnsi"/>
          <w:b/>
          <w:szCs w:val="24"/>
          <w:u w:val="single"/>
          <w:lang w:val="hy-AM"/>
        </w:rPr>
        <w:t xml:space="preserve">և ծավալի </w:t>
      </w:r>
      <w:r w:rsidR="003A7BCA" w:rsidRPr="002D7AB9">
        <w:rPr>
          <w:rFonts w:ascii="Sylfaen" w:hAnsi="Sylfaen" w:cstheme="minorHAnsi"/>
          <w:b/>
          <w:szCs w:val="24"/>
          <w:u w:val="single"/>
          <w:lang w:val="hy-AM"/>
        </w:rPr>
        <w:t>Տ</w:t>
      </w:r>
      <w:r w:rsidR="00FC6357" w:rsidRPr="002D7AB9">
        <w:rPr>
          <w:rFonts w:ascii="Sylfaen" w:hAnsi="Sylfaen" w:cstheme="minorHAnsi"/>
          <w:b/>
          <w:szCs w:val="24"/>
          <w:u w:val="single"/>
          <w:lang w:val="hy-AM"/>
        </w:rPr>
        <w:t xml:space="preserve">եխնիկական </w:t>
      </w:r>
      <w:r w:rsidR="005A17C4" w:rsidRPr="002D7AB9">
        <w:rPr>
          <w:rFonts w:ascii="Sylfaen" w:hAnsi="Sylfaen" w:cstheme="minorHAnsi"/>
          <w:b/>
          <w:szCs w:val="24"/>
          <w:u w:val="single"/>
          <w:lang w:val="hy-AM"/>
        </w:rPr>
        <w:t>հսկողություն</w:t>
      </w:r>
    </w:p>
    <w:p w:rsidR="00F87761" w:rsidRPr="002D7AB9" w:rsidRDefault="00F87761" w:rsidP="0078556C">
      <w:pPr>
        <w:ind w:left="-270"/>
        <w:rPr>
          <w:rFonts w:ascii="Sylfaen" w:hAnsi="Sylfaen" w:cstheme="minorHAnsi"/>
          <w:szCs w:val="24"/>
          <w:lang w:val="hy-AM"/>
        </w:rPr>
      </w:pPr>
    </w:p>
    <w:p w:rsidR="00B75044" w:rsidRPr="002D7AB9" w:rsidRDefault="00F87761" w:rsidP="00F82DBC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Շինարարական աշխատանքների մեկնարկից հետո </w:t>
      </w:r>
      <w:r w:rsidR="00B75044" w:rsidRPr="002D7AB9">
        <w:rPr>
          <w:rFonts w:ascii="Sylfaen" w:hAnsi="Sylfaen" w:cstheme="minorHAnsi"/>
          <w:szCs w:val="24"/>
          <w:lang w:val="hy-AM"/>
        </w:rPr>
        <w:t>Խորհրդատուն պետք է իրականացնի</w:t>
      </w:r>
      <w:r w:rsidRPr="002D7AB9">
        <w:rPr>
          <w:rFonts w:ascii="Sylfaen" w:hAnsi="Sylfaen" w:cstheme="minorHAnsi"/>
          <w:szCs w:val="24"/>
          <w:lang w:val="hy-AM"/>
        </w:rPr>
        <w:t xml:space="preserve"> շինարարական աշխատանքների որակի </w:t>
      </w:r>
      <w:r w:rsidR="004617F9" w:rsidRPr="002D7AB9">
        <w:rPr>
          <w:rFonts w:ascii="Sylfaen" w:hAnsi="Sylfaen" w:cstheme="minorHAnsi"/>
          <w:szCs w:val="24"/>
          <w:lang w:val="hy-AM"/>
        </w:rPr>
        <w:t xml:space="preserve">և ծավալի </w:t>
      </w:r>
      <w:r w:rsidRPr="002D7AB9">
        <w:rPr>
          <w:rFonts w:ascii="Sylfaen" w:hAnsi="Sylfaen" w:cstheme="minorHAnsi"/>
          <w:szCs w:val="24"/>
          <w:lang w:val="hy-AM"/>
        </w:rPr>
        <w:t xml:space="preserve">տեխնիկական հսկողության </w:t>
      </w:r>
      <w:r w:rsidR="00B75044" w:rsidRPr="002D7AB9">
        <w:rPr>
          <w:rFonts w:ascii="Sylfaen" w:hAnsi="Sylfaen" w:cstheme="minorHAnsi"/>
          <w:szCs w:val="24"/>
          <w:lang w:val="hy-AM"/>
        </w:rPr>
        <w:t>գործառույթները</w:t>
      </w:r>
      <w:r w:rsidRPr="002D7AB9">
        <w:rPr>
          <w:rFonts w:ascii="Sylfaen" w:hAnsi="Sylfaen" w:cstheme="minorHAnsi"/>
          <w:szCs w:val="24"/>
          <w:lang w:val="hy-AM"/>
        </w:rPr>
        <w:t xml:space="preserve">՝ ՀՀ օրենսդրությամբ սահմանված պահանջներին </w:t>
      </w:r>
      <w:r w:rsidR="00C8604C" w:rsidRPr="002D7AB9">
        <w:rPr>
          <w:rFonts w:ascii="Sylfaen" w:hAnsi="Sylfaen" w:cstheme="minorHAnsi"/>
          <w:szCs w:val="24"/>
          <w:lang w:val="hy-AM"/>
        </w:rPr>
        <w:t xml:space="preserve">և </w:t>
      </w:r>
      <w:r w:rsidR="00B75044" w:rsidRPr="002D7AB9">
        <w:rPr>
          <w:rFonts w:ascii="Sylfaen" w:hAnsi="Sylfaen" w:cstheme="minorHAnsi"/>
          <w:szCs w:val="24"/>
          <w:lang w:val="hy-AM"/>
        </w:rPr>
        <w:t xml:space="preserve">չափորոշիչներին </w:t>
      </w:r>
      <w:r w:rsidRPr="002D7AB9">
        <w:rPr>
          <w:rFonts w:ascii="Sylfaen" w:hAnsi="Sylfaen" w:cstheme="minorHAnsi"/>
          <w:szCs w:val="24"/>
          <w:lang w:val="hy-AM"/>
        </w:rPr>
        <w:t>համապատասխան</w:t>
      </w:r>
      <w:r w:rsidR="00B75044" w:rsidRPr="002D7AB9">
        <w:rPr>
          <w:rFonts w:ascii="Sylfaen" w:hAnsi="Sylfaen" w:cstheme="minorHAnsi"/>
          <w:szCs w:val="24"/>
          <w:lang w:val="hy-AM"/>
        </w:rPr>
        <w:t>,</w:t>
      </w:r>
    </w:p>
    <w:p w:rsidR="008D34F8" w:rsidRPr="002D7AB9" w:rsidRDefault="008D34F8" w:rsidP="00F82DBC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Կազ</w:t>
      </w:r>
      <w:r w:rsidR="00603E2B" w:rsidRPr="002D7AB9">
        <w:rPr>
          <w:rFonts w:ascii="Sylfaen" w:hAnsi="Sylfaen" w:cstheme="minorHAnsi"/>
          <w:szCs w:val="24"/>
          <w:lang w:val="hy-AM"/>
        </w:rPr>
        <w:t>մ</w:t>
      </w:r>
      <w:r w:rsidRPr="002D7AB9">
        <w:rPr>
          <w:rFonts w:ascii="Sylfaen" w:hAnsi="Sylfaen" w:cstheme="minorHAnsi"/>
          <w:szCs w:val="24"/>
          <w:lang w:val="hy-AM"/>
        </w:rPr>
        <w:t>ակերպությունը մինչև օբյեկտների շինարարական աշխա</w:t>
      </w:r>
      <w:r w:rsidR="00322A71" w:rsidRPr="002D7AB9">
        <w:rPr>
          <w:rFonts w:ascii="Sylfaen" w:hAnsi="Sylfaen" w:cstheme="minorHAnsi"/>
          <w:szCs w:val="24"/>
          <w:lang w:val="hy-AM"/>
        </w:rPr>
        <w:t xml:space="preserve">տանքների ավարտը պետք է ապահովվի համապատասխան </w:t>
      </w:r>
      <w:r w:rsidR="00BA0BA7">
        <w:rPr>
          <w:rFonts w:ascii="Sylfaen" w:hAnsi="Sylfaen" w:cstheme="minorHAnsi"/>
          <w:szCs w:val="24"/>
          <w:lang w:val="hy-AM"/>
        </w:rPr>
        <w:t>մասնագետների ներկայությունը շին</w:t>
      </w:r>
      <w:r w:rsidR="00322A71" w:rsidRPr="002D7AB9">
        <w:rPr>
          <w:rFonts w:ascii="Sylfaen" w:hAnsi="Sylfaen" w:cstheme="minorHAnsi"/>
          <w:szCs w:val="24"/>
          <w:lang w:val="hy-AM"/>
        </w:rPr>
        <w:t>հրապարակներում (Երևան քաղաք, ՀՀ մարզեր), պայմանագրային աշխատ</w:t>
      </w:r>
      <w:r w:rsidR="00AE1092" w:rsidRPr="002D7AB9">
        <w:rPr>
          <w:rFonts w:ascii="Sylfaen" w:hAnsi="Sylfaen" w:cstheme="minorHAnsi"/>
          <w:szCs w:val="24"/>
          <w:lang w:val="hy-AM"/>
        </w:rPr>
        <w:t xml:space="preserve">անքների ողջ ծավալը միաժամանակ </w:t>
      </w:r>
      <w:r w:rsidR="00322A71" w:rsidRPr="002D7AB9">
        <w:rPr>
          <w:rFonts w:ascii="Sylfaen" w:hAnsi="Sylfaen" w:cstheme="minorHAnsi"/>
          <w:szCs w:val="24"/>
          <w:lang w:val="hy-AM"/>
        </w:rPr>
        <w:t>վերահսկելու նպատակով:</w:t>
      </w:r>
    </w:p>
    <w:p w:rsidR="00C8604C" w:rsidRPr="002D7AB9" w:rsidRDefault="00C8604C" w:rsidP="00C8604C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Առաջադրված խնդիրների շրջանակներում Պատվիրատուի և Խորհրդատուի ներկայացուցիչների մասնակցությամբ քննարկումների, խորհրդակցությունների և դրանց ընթացքում ընդունված որոշումների վերաբերյալ արձանագրությունների կազմում և գրությունների նախապատրաստում,</w:t>
      </w:r>
    </w:p>
    <w:p w:rsidR="00B75044" w:rsidRPr="002D7AB9" w:rsidRDefault="00B75044" w:rsidP="00C00412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Խորհրդատուն պատասխանատվություն է կրում նախագծա-նախահաշվային</w:t>
      </w:r>
      <w:r w:rsidRPr="002D7AB9">
        <w:rPr>
          <w:rFonts w:ascii="Sylfaen" w:hAnsi="Sylfaen" w:cstheme="minorHAnsi"/>
          <w:i/>
          <w:szCs w:val="24"/>
          <w:lang w:val="hy-AM"/>
        </w:rPr>
        <w:t xml:space="preserve"> փաստաթղթերով</w:t>
      </w:r>
      <w:r w:rsidRPr="002D7AB9">
        <w:rPr>
          <w:rFonts w:ascii="Sylfaen" w:hAnsi="Sylfaen" w:cstheme="minorHAnsi"/>
          <w:szCs w:val="24"/>
          <w:lang w:val="hy-AM"/>
        </w:rPr>
        <w:t xml:space="preserve"> և տեխնիկական մասնագրերով նախատեսված սարքերի, սաքավորումների, խողովակների, ձևավոր մասերի</w:t>
      </w:r>
      <w:r w:rsidR="00931C40" w:rsidRPr="002D7AB9">
        <w:rPr>
          <w:rFonts w:ascii="Sylfaen" w:hAnsi="Sylfaen" w:cstheme="minorHAnsi"/>
          <w:szCs w:val="24"/>
          <w:lang w:val="hy-AM"/>
        </w:rPr>
        <w:t xml:space="preserve"> և</w:t>
      </w:r>
      <w:r w:rsidRPr="002D7AB9">
        <w:rPr>
          <w:rFonts w:ascii="Sylfaen" w:hAnsi="Sylfaen" w:cstheme="minorHAnsi"/>
          <w:szCs w:val="24"/>
          <w:lang w:val="hy-AM"/>
        </w:rPr>
        <w:t xml:space="preserve"> հիդրավլիկական պարամետրերի </w:t>
      </w:r>
      <w:r w:rsidR="00931C40" w:rsidRPr="002D7AB9">
        <w:rPr>
          <w:rFonts w:ascii="Sylfaen" w:hAnsi="Sylfaen" w:cstheme="minorHAnsi"/>
          <w:szCs w:val="24"/>
          <w:lang w:val="hy-AM"/>
        </w:rPr>
        <w:t xml:space="preserve">համապատասխանության </w:t>
      </w:r>
      <w:r w:rsidRPr="002D7AB9">
        <w:rPr>
          <w:rFonts w:ascii="Sylfaen" w:hAnsi="Sylfaen" w:cstheme="minorHAnsi"/>
          <w:szCs w:val="24"/>
          <w:lang w:val="hy-AM"/>
        </w:rPr>
        <w:t>համար</w:t>
      </w:r>
      <w:r w:rsidR="00931C40" w:rsidRPr="002D7AB9">
        <w:rPr>
          <w:rFonts w:ascii="Sylfaen" w:hAnsi="Sylfaen" w:cstheme="minorHAnsi"/>
          <w:szCs w:val="24"/>
          <w:lang w:val="hy-AM"/>
        </w:rPr>
        <w:t>,</w:t>
      </w:r>
    </w:p>
    <w:p w:rsidR="00931C40" w:rsidRPr="002D7AB9" w:rsidRDefault="00931C40" w:rsidP="00931C40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Խորհրդատուն պետք է ստուգի շինարարական աշխատանքների համապատասխանությունը նախագծին և տեխնիկական մասնագրերին</w:t>
      </w:r>
      <w:r w:rsidR="00485BAD" w:rsidRPr="002D7AB9">
        <w:rPr>
          <w:rFonts w:ascii="Sylfaen" w:hAnsi="Sylfaen" w:cstheme="minorHAnsi"/>
          <w:szCs w:val="24"/>
          <w:lang w:val="hy-AM"/>
        </w:rPr>
        <w:t>,</w:t>
      </w:r>
      <w:r w:rsidRPr="002D7AB9">
        <w:rPr>
          <w:rFonts w:ascii="Sylfaen" w:hAnsi="Sylfaen" w:cstheme="minorHAnsi"/>
          <w:szCs w:val="24"/>
          <w:lang w:val="hy-AM"/>
        </w:rPr>
        <w:t xml:space="preserve"> ինչպես նաև ժամանակին պետք է հայտնաբերի նախագծային թերությունները և ապահովի  հայտնաբերված թերությունների անհապաղ շտկումը,</w:t>
      </w:r>
    </w:p>
    <w:p w:rsidR="00931C40" w:rsidRPr="002D7AB9" w:rsidRDefault="00931C40" w:rsidP="00931C40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Անհրաժեշտության դեպքում կապալառուին պետք է ցուցաբերի մեթոդական և գործնական աջակցություն՝ կարդալու և հասկանալու նախագծով ներկայացված գծագրերը, նախագծային լուծումներն ու աշխատանքային ծավալները,</w:t>
      </w:r>
    </w:p>
    <w:p w:rsidR="00931C40" w:rsidRPr="002D7AB9" w:rsidRDefault="00931C40" w:rsidP="00931C40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Պետք է իրականացնի բետոնի խառնուրդի բաղադրիչների բաժնեչափերի կանոնավոր ստուգում, լցանյութի հատիկաչափական կազմի հսկում,</w:t>
      </w:r>
      <w:r w:rsidR="00485BAD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CC4908" w:rsidRPr="002D7AB9">
        <w:rPr>
          <w:rFonts w:ascii="Sylfaen" w:hAnsi="Sylfaen" w:cstheme="minorHAnsi"/>
          <w:szCs w:val="24"/>
          <w:lang w:val="hy-AM"/>
        </w:rPr>
        <w:t xml:space="preserve">օգտագործվող միաձույլ բետոնի համապատասխանությունը նախագծով նախատեսված մակնիշին, </w:t>
      </w:r>
      <w:r w:rsidRPr="002D7AB9">
        <w:rPr>
          <w:rFonts w:ascii="Sylfaen" w:hAnsi="Sylfaen" w:cstheme="minorHAnsi"/>
          <w:szCs w:val="24"/>
          <w:lang w:val="hy-AM"/>
        </w:rPr>
        <w:t xml:space="preserve"> բետոնի տեղադրման համար անհրաժեշտ սարքավորումների առկայության ստուգում (բետոնախառնիչ, թրթռիչ, բահեր, ծեփիչներ և այլն</w:t>
      </w:r>
      <w:r w:rsidR="005A17C4" w:rsidRPr="002D7AB9">
        <w:rPr>
          <w:rFonts w:ascii="Sylfaen" w:hAnsi="Sylfaen" w:cstheme="minorHAnsi"/>
          <w:szCs w:val="24"/>
          <w:lang w:val="hy-AM"/>
        </w:rPr>
        <w:t>)</w:t>
      </w:r>
      <w:r w:rsidR="00514BBA" w:rsidRPr="002D7AB9">
        <w:rPr>
          <w:rFonts w:ascii="Sylfaen" w:hAnsi="Sylfaen" w:cstheme="minorHAnsi"/>
          <w:szCs w:val="24"/>
          <w:lang w:val="hy-AM"/>
        </w:rPr>
        <w:t xml:space="preserve">, </w:t>
      </w:r>
      <w:r w:rsidR="004617F9" w:rsidRPr="002D7AB9">
        <w:rPr>
          <w:rFonts w:ascii="Sylfaen" w:hAnsi="Sylfaen" w:cstheme="minorHAnsi"/>
          <w:szCs w:val="24"/>
          <w:lang w:val="hy-AM"/>
        </w:rPr>
        <w:t>ասֆալտ բետոնյա ծածկույթի իրականացման աշխատանքների դեպքում</w:t>
      </w:r>
      <w:r w:rsidR="00485BAD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4617F9" w:rsidRPr="002D7AB9">
        <w:rPr>
          <w:rFonts w:ascii="Sylfaen" w:hAnsi="Sylfaen" w:cstheme="minorHAnsi"/>
          <w:szCs w:val="24"/>
          <w:lang w:val="hy-AM"/>
        </w:rPr>
        <w:t xml:space="preserve">- ասֆալտ բետոնյա ծածկույթի </w:t>
      </w:r>
      <w:r w:rsidR="00514BBA" w:rsidRPr="002D7AB9">
        <w:rPr>
          <w:rFonts w:ascii="Sylfaen" w:hAnsi="Sylfaen" w:cstheme="minorHAnsi"/>
          <w:szCs w:val="24"/>
          <w:lang w:val="hy-AM"/>
        </w:rPr>
        <w:t xml:space="preserve"> նորմատիվային խտության ստուգում,</w:t>
      </w:r>
    </w:p>
    <w:p w:rsidR="00514BBA" w:rsidRPr="002D7AB9" w:rsidRDefault="00514BBA" w:rsidP="00931C40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Մասնակցություն ջրամբարների, ջրի և կոյուղու </w:t>
      </w:r>
      <w:r w:rsidR="00CC4908" w:rsidRPr="002D7AB9">
        <w:rPr>
          <w:rFonts w:ascii="Sylfaen" w:hAnsi="Sylfaen" w:cstheme="minorHAnsi"/>
          <w:szCs w:val="24"/>
          <w:lang w:val="hy-AM"/>
        </w:rPr>
        <w:t xml:space="preserve">մոնտաժված </w:t>
      </w:r>
      <w:r w:rsidRPr="002D7AB9">
        <w:rPr>
          <w:rFonts w:ascii="Sylfaen" w:hAnsi="Sylfaen" w:cstheme="minorHAnsi"/>
          <w:szCs w:val="24"/>
          <w:lang w:val="hy-AM"/>
        </w:rPr>
        <w:t xml:space="preserve">խողովակների, փորձարկման ու ախտահանման աշխատանքներին «Վեոլիա Ջուր» </w:t>
      </w:r>
      <w:r w:rsidRPr="002D7AB9">
        <w:rPr>
          <w:rFonts w:ascii="Sylfaen" w:hAnsi="Sylfaen" w:cstheme="minorHAnsi"/>
          <w:szCs w:val="24"/>
          <w:lang w:val="hy-AM"/>
        </w:rPr>
        <w:lastRenderedPageBreak/>
        <w:t>ընկերության պատասխանատու մասնագետի, սանիտարահիգիենիկ և համաճարակային կենտրոնի ներկայացուցիչի հետ</w:t>
      </w:r>
      <w:r w:rsidR="005F082F" w:rsidRPr="002D7AB9">
        <w:rPr>
          <w:rFonts w:ascii="Sylfaen" w:hAnsi="Sylfaen" w:cstheme="minorHAnsi"/>
          <w:szCs w:val="24"/>
          <w:lang w:val="hy-AM"/>
        </w:rPr>
        <w:t xml:space="preserve"> համապատասխան ակտերի վավերացումով,</w:t>
      </w:r>
    </w:p>
    <w:p w:rsidR="005F082F" w:rsidRPr="002D7AB9" w:rsidRDefault="005F082F" w:rsidP="00931C40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Թաքնված աշխատանքների համար կազմված ակտերի վավերացում</w:t>
      </w:r>
      <w:r w:rsidR="00A06BDE" w:rsidRPr="002D7AB9">
        <w:rPr>
          <w:rFonts w:ascii="Sylfaen" w:hAnsi="Sylfaen" w:cstheme="minorHAnsi"/>
          <w:szCs w:val="24"/>
          <w:lang w:val="hy-AM"/>
        </w:rPr>
        <w:t>,</w:t>
      </w:r>
    </w:p>
    <w:p w:rsidR="005A17C4" w:rsidRPr="002D7AB9" w:rsidRDefault="005A17C4" w:rsidP="005A17C4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Սահմանում է հսկողություն շինարարական աշխատանքներում օգտագործվող բոլոր միջոցների, սարքերի, սարքավորումների և նյութերի հավաստագրերի առկայության, պահանջվող նորմերին ու ստանդարտներին համապատասխանության ուղղությամբ,</w:t>
      </w:r>
    </w:p>
    <w:p w:rsidR="005A17C4" w:rsidRPr="002D7AB9" w:rsidRDefault="005A17C4" w:rsidP="005A17C4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Իրականացնում է շինարարության կատարման ընթացքի և շինարարության գրաֆիկի պահպանման</w:t>
      </w:r>
      <w:r w:rsidR="007231A8" w:rsidRPr="002D7AB9">
        <w:rPr>
          <w:rFonts w:ascii="Sylfaen" w:hAnsi="Sylfaen" w:cstheme="minorHAnsi"/>
          <w:szCs w:val="24"/>
          <w:lang w:val="hy-AM"/>
        </w:rPr>
        <w:t>,</w:t>
      </w:r>
      <w:r w:rsidRPr="002D7AB9">
        <w:rPr>
          <w:rFonts w:ascii="Sylfaen" w:hAnsi="Sylfaen" w:cstheme="minorHAnsi"/>
          <w:szCs w:val="24"/>
          <w:lang w:val="hy-AM"/>
        </w:rPr>
        <w:t xml:space="preserve"> ինչպես նաև շինարարության ընթացքում առաջացած խնդիրների բացահայտման և դրանց ժամանակին լուծում տալու նկատմամբ հսկողություն,</w:t>
      </w:r>
    </w:p>
    <w:p w:rsidR="005A17C4" w:rsidRPr="002D7AB9" w:rsidRDefault="005A17C4" w:rsidP="00931C40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Կատարում է շինարարության ընթացքում անվտանգության նորմերի, ինչպես նաև շրջակա միջավայրի վրա բացասական ազդեցությունը մեղմացնող միջոցառումների իրականացման նկատմամբ վերահսկողություն:</w:t>
      </w:r>
    </w:p>
    <w:p w:rsidR="005A17C4" w:rsidRPr="002D7AB9" w:rsidRDefault="005A17C4" w:rsidP="005A17C4">
      <w:pPr>
        <w:pStyle w:val="ListParagraph"/>
        <w:numPr>
          <w:ilvl w:val="0"/>
          <w:numId w:val="23"/>
        </w:numPr>
        <w:spacing w:line="276" w:lineRule="auto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Պատվիրատուին ծանուցում է ներկայացնում՝ Կապալառուների աշխատանքներում հայտնաբերած թերությունների ու բացթողումների </w:t>
      </w:r>
      <w:r w:rsidR="00A750CF" w:rsidRPr="002D7AB9">
        <w:rPr>
          <w:rFonts w:ascii="Sylfaen" w:hAnsi="Sylfaen" w:cstheme="minorHAnsi"/>
          <w:szCs w:val="24"/>
          <w:lang w:val="hy-AM"/>
        </w:rPr>
        <w:t>և</w:t>
      </w:r>
      <w:r w:rsidRPr="002D7AB9">
        <w:rPr>
          <w:rFonts w:ascii="Sylfaen" w:hAnsi="Sylfaen" w:cstheme="minorHAnsi"/>
          <w:szCs w:val="24"/>
          <w:lang w:val="hy-AM"/>
        </w:rPr>
        <w:t xml:space="preserve"> Կապալառուների աշխատանքների արդյունքում շրջակա միջավայրին հասցվող վնասի վերաբերյալ,  </w:t>
      </w:r>
    </w:p>
    <w:p w:rsidR="00A750CF" w:rsidRPr="002D7AB9" w:rsidRDefault="00A750CF" w:rsidP="00406100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Նախագծով չնախատեսված լրացուցիչ աշխատանքների ծավալների ավելացման պարագայում նախաձեռնում և կազմակերպում է նախագծողի, կապալառուի և պատվիրատուի ներկայացուցիչների հետ առաջացած խնդիրների քննարկում,</w:t>
      </w:r>
    </w:p>
    <w:p w:rsidR="00167125" w:rsidRPr="002D7AB9" w:rsidRDefault="00167125" w:rsidP="00167125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Ապահովվում է կապալառուի կողմից կազմված </w:t>
      </w:r>
      <w:r w:rsidR="009F462A" w:rsidRPr="002D7AB9">
        <w:rPr>
          <w:rFonts w:ascii="Sylfaen" w:hAnsi="Sylfaen" w:cstheme="minorHAnsi"/>
          <w:szCs w:val="24"/>
          <w:lang w:val="hy-AM"/>
        </w:rPr>
        <w:t xml:space="preserve">ընթացիկ </w:t>
      </w:r>
      <w:r w:rsidRPr="002D7AB9">
        <w:rPr>
          <w:rFonts w:ascii="Sylfaen" w:hAnsi="Sylfaen" w:cstheme="minorHAnsi"/>
          <w:szCs w:val="24"/>
          <w:lang w:val="hy-AM"/>
        </w:rPr>
        <w:t>կատարողական ակտերի, գծագրերի ստուգված և հաստատված տարբերակների ներկայացումը պատվիրատուին, ինչպես նաև իրականացնում է շինաշխատանքների և դրա ծավալների սահմանված կարգով ընդունում</w:t>
      </w:r>
      <w:r w:rsidR="007B254A" w:rsidRPr="002D7AB9">
        <w:rPr>
          <w:rFonts w:ascii="Sylfaen" w:hAnsi="Sylfaen" w:cstheme="minorHAnsi"/>
          <w:szCs w:val="24"/>
          <w:lang w:val="hy-AM"/>
        </w:rPr>
        <w:t>՝</w:t>
      </w:r>
      <w:r w:rsidRPr="002D7AB9">
        <w:rPr>
          <w:rFonts w:ascii="Sylfaen" w:hAnsi="Sylfaen" w:cstheme="minorHAnsi"/>
          <w:szCs w:val="24"/>
          <w:lang w:val="hy-AM"/>
        </w:rPr>
        <w:t xml:space="preserve"> շինարարության կապալի պայմ</w:t>
      </w:r>
      <w:r w:rsidR="009F462A" w:rsidRPr="002D7AB9">
        <w:rPr>
          <w:rFonts w:ascii="Sylfaen" w:hAnsi="Sylfaen" w:cstheme="minorHAnsi"/>
          <w:szCs w:val="24"/>
          <w:lang w:val="hy-AM"/>
        </w:rPr>
        <w:t>անագրի պայմաններին համապատասխան</w:t>
      </w:r>
      <w:r w:rsidR="007B254A" w:rsidRPr="002D7AB9">
        <w:rPr>
          <w:rFonts w:ascii="Sylfaen" w:hAnsi="Sylfaen" w:cstheme="minorHAnsi"/>
          <w:szCs w:val="24"/>
          <w:lang w:val="hy-AM"/>
        </w:rPr>
        <w:t>,</w:t>
      </w:r>
      <w:r w:rsidR="009F462A" w:rsidRPr="002D7AB9">
        <w:rPr>
          <w:rFonts w:ascii="Sylfaen" w:hAnsi="Sylfaen" w:cstheme="minorHAnsi"/>
          <w:szCs w:val="24"/>
          <w:lang w:val="hy-AM"/>
        </w:rPr>
        <w:t xml:space="preserve"> և ապահովվում է կառուցված օբյեկտի փաստաթղթերի ամբողջական փաթեթի հանձնումը պատվիրատուին, ներառյալ կատարողական գծագրերի հաստատված տարբերակները,</w:t>
      </w:r>
    </w:p>
    <w:p w:rsidR="003102AD" w:rsidRPr="002D7AB9" w:rsidRDefault="003102AD" w:rsidP="003102AD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Շինարար</w:t>
      </w:r>
      <w:r w:rsidR="007B254A" w:rsidRPr="002D7AB9">
        <w:rPr>
          <w:rFonts w:ascii="Sylfaen" w:hAnsi="Sylfaen" w:cstheme="minorHAnsi"/>
          <w:szCs w:val="24"/>
          <w:lang w:val="hy-AM"/>
        </w:rPr>
        <w:t>ա</w:t>
      </w:r>
      <w:r w:rsidRPr="002D7AB9">
        <w:rPr>
          <w:rFonts w:ascii="Sylfaen" w:hAnsi="Sylfaen" w:cstheme="minorHAnsi"/>
          <w:szCs w:val="24"/>
          <w:lang w:val="hy-AM"/>
        </w:rPr>
        <w:t xml:space="preserve">կան աշխատանքների ավարտից և օրենքով սահմանված բոլոր </w:t>
      </w:r>
      <w:r w:rsidR="001A300F" w:rsidRPr="002D7AB9">
        <w:rPr>
          <w:rFonts w:ascii="Sylfaen" w:hAnsi="Sylfaen" w:cstheme="minorHAnsi"/>
          <w:szCs w:val="24"/>
          <w:lang w:val="hy-AM"/>
        </w:rPr>
        <w:t>փաստաթղթային</w:t>
      </w:r>
      <w:r w:rsidRPr="002D7AB9">
        <w:rPr>
          <w:rFonts w:ascii="Sylfaen" w:hAnsi="Sylfaen" w:cstheme="minorHAnsi"/>
          <w:szCs w:val="24"/>
          <w:lang w:val="hy-AM"/>
        </w:rPr>
        <w:t xml:space="preserve"> ձևակերպումներից հետո, </w:t>
      </w:r>
      <w:r w:rsidR="001A300F" w:rsidRPr="002D7AB9">
        <w:rPr>
          <w:rFonts w:ascii="Sylfaen" w:hAnsi="Sylfaen" w:cstheme="minorHAnsi"/>
          <w:szCs w:val="24"/>
          <w:lang w:val="hy-AM"/>
        </w:rPr>
        <w:t>իրականացնում է հետ</w:t>
      </w:r>
      <w:r w:rsidRPr="002D7AB9">
        <w:rPr>
          <w:rFonts w:ascii="Sylfaen" w:hAnsi="Sylfaen" w:cstheme="minorHAnsi"/>
          <w:szCs w:val="24"/>
          <w:lang w:val="hy-AM"/>
        </w:rPr>
        <w:t xml:space="preserve">աշխատանքային թերությունների </w:t>
      </w:r>
      <w:r w:rsidR="001A300F" w:rsidRPr="002D7AB9">
        <w:rPr>
          <w:rFonts w:ascii="Sylfaen" w:hAnsi="Sylfaen" w:cstheme="minorHAnsi"/>
          <w:szCs w:val="24"/>
          <w:lang w:val="hy-AM"/>
        </w:rPr>
        <w:t xml:space="preserve">հայտնաբերմանն ու </w:t>
      </w:r>
      <w:r w:rsidRPr="002D7AB9">
        <w:rPr>
          <w:rFonts w:ascii="Sylfaen" w:hAnsi="Sylfaen" w:cstheme="minorHAnsi"/>
          <w:szCs w:val="24"/>
          <w:lang w:val="hy-AM"/>
        </w:rPr>
        <w:t>բացահայտման</w:t>
      </w:r>
      <w:r w:rsidR="001A300F" w:rsidRPr="002D7AB9">
        <w:rPr>
          <w:rFonts w:ascii="Sylfaen" w:hAnsi="Sylfaen" w:cstheme="minorHAnsi"/>
          <w:szCs w:val="24"/>
          <w:lang w:val="hy-AM"/>
        </w:rPr>
        <w:t>ն ուղղված գործողություններ</w:t>
      </w:r>
      <w:r w:rsidR="007B254A" w:rsidRPr="002D7AB9">
        <w:rPr>
          <w:rFonts w:ascii="Sylfaen" w:hAnsi="Sylfaen" w:cstheme="minorHAnsi"/>
          <w:szCs w:val="24"/>
          <w:lang w:val="hy-AM"/>
        </w:rPr>
        <w:t>,</w:t>
      </w:r>
      <w:r w:rsidR="008C0956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1A300F" w:rsidRPr="002D7AB9">
        <w:rPr>
          <w:rFonts w:ascii="Sylfaen" w:hAnsi="Sylfaen" w:cstheme="minorHAnsi"/>
          <w:szCs w:val="24"/>
          <w:lang w:val="hy-AM"/>
        </w:rPr>
        <w:t xml:space="preserve">ցուցաբերում է հետևողական վերաբերմունք դրանց կապալառու կազմակերպության կողմից վերացման ուղղությամբ։ </w:t>
      </w:r>
    </w:p>
    <w:p w:rsidR="00AF316B" w:rsidRPr="002D7AB9" w:rsidRDefault="009F462A" w:rsidP="00D65FDD">
      <w:pPr>
        <w:pStyle w:val="ListParagraph"/>
        <w:numPr>
          <w:ilvl w:val="0"/>
          <w:numId w:val="23"/>
        </w:numPr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Իրականացնում </w:t>
      </w:r>
      <w:r w:rsidR="007B254A" w:rsidRPr="002D7AB9">
        <w:rPr>
          <w:rFonts w:ascii="Sylfaen" w:hAnsi="Sylfaen" w:cstheme="minorHAnsi"/>
          <w:szCs w:val="24"/>
          <w:lang w:val="hy-AM"/>
        </w:rPr>
        <w:t>է տեղադրված անհատական ջրաչափերի</w:t>
      </w:r>
      <w:r w:rsidRPr="002D7AB9">
        <w:rPr>
          <w:rFonts w:ascii="Sylfaen" w:hAnsi="Sylfaen" w:cstheme="minorHAnsi"/>
          <w:szCs w:val="24"/>
          <w:lang w:val="hy-AM"/>
        </w:rPr>
        <w:t xml:space="preserve"> </w:t>
      </w:r>
      <w:r w:rsidR="00E83424" w:rsidRPr="002D7AB9">
        <w:rPr>
          <w:rFonts w:ascii="Sylfaen" w:hAnsi="Sylfaen" w:cstheme="minorHAnsi"/>
          <w:szCs w:val="24"/>
          <w:lang w:val="hy-AM"/>
        </w:rPr>
        <w:t xml:space="preserve">հաշվառում, ցուցակների կազմում </w:t>
      </w:r>
      <w:r w:rsidR="00406100" w:rsidRPr="002D7AB9">
        <w:rPr>
          <w:rFonts w:ascii="Sylfaen" w:hAnsi="Sylfaen" w:cstheme="minorHAnsi"/>
          <w:szCs w:val="24"/>
          <w:lang w:val="hy-AM"/>
        </w:rPr>
        <w:t>և ապահովվում է դրանց փոխանցումը պատվիրատուին։</w:t>
      </w:r>
    </w:p>
    <w:p w:rsidR="00854471" w:rsidRPr="002D7AB9" w:rsidRDefault="00854471" w:rsidP="00854471">
      <w:pPr>
        <w:pStyle w:val="ListParagraph"/>
        <w:rPr>
          <w:rFonts w:ascii="Sylfaen" w:hAnsi="Sylfaen" w:cstheme="minorHAnsi"/>
          <w:szCs w:val="24"/>
          <w:lang w:val="hy-AM"/>
        </w:rPr>
      </w:pPr>
    </w:p>
    <w:p w:rsidR="004757EA" w:rsidRPr="002D7AB9" w:rsidRDefault="004757EA" w:rsidP="004757EA">
      <w:pPr>
        <w:rPr>
          <w:rFonts w:ascii="Sylfaen" w:hAnsi="Sylfaen" w:cstheme="minorHAnsi"/>
          <w:b/>
          <w:szCs w:val="24"/>
          <w:u w:val="single"/>
          <w:lang w:val="hy-AM"/>
        </w:rPr>
      </w:pPr>
      <w:r w:rsidRPr="002D7AB9">
        <w:rPr>
          <w:rFonts w:ascii="Sylfaen" w:hAnsi="Sylfaen" w:cstheme="minorHAnsi"/>
          <w:b/>
          <w:szCs w:val="24"/>
          <w:u w:val="single"/>
          <w:lang w:val="hy-AM"/>
        </w:rPr>
        <w:lastRenderedPageBreak/>
        <w:t>Հայտատուին ներկայացվող պահանջներն են՝</w:t>
      </w:r>
    </w:p>
    <w:p w:rsidR="004757EA" w:rsidRPr="002D7AB9" w:rsidRDefault="004757EA" w:rsidP="004757EA">
      <w:pPr>
        <w:ind w:left="-270"/>
        <w:rPr>
          <w:rFonts w:ascii="Sylfaen" w:hAnsi="Sylfaen" w:cstheme="minorHAnsi"/>
          <w:szCs w:val="24"/>
          <w:lang w:val="hy-AM"/>
        </w:rPr>
      </w:pPr>
    </w:p>
    <w:p w:rsidR="004757EA" w:rsidRPr="002D7AB9" w:rsidRDefault="0055617C" w:rsidP="008557BC">
      <w:pPr>
        <w:numPr>
          <w:ilvl w:val="0"/>
          <w:numId w:val="28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</w:t>
      </w:r>
      <w:r w:rsidR="004757EA" w:rsidRPr="002D7AB9">
        <w:rPr>
          <w:rFonts w:ascii="Sylfaen" w:hAnsi="Sylfaen" w:cstheme="minorHAnsi"/>
          <w:szCs w:val="24"/>
          <w:lang w:val="hy-AM"/>
        </w:rPr>
        <w:t>Հայտատուն պետք է չունենա Պատվիրատուի կողմից կասեցված</w:t>
      </w:r>
      <w:r w:rsidR="00FC11F1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8C0956" w:rsidRPr="002D7AB9">
        <w:rPr>
          <w:rFonts w:ascii="Sylfaen" w:hAnsi="Sylfaen" w:cstheme="minorHAnsi"/>
          <w:szCs w:val="24"/>
          <w:lang w:val="hy-AM"/>
        </w:rPr>
        <w:t>(դադարեցված, լուծարված)</w:t>
      </w:r>
      <w:r w:rsidR="004757EA" w:rsidRPr="002D7AB9">
        <w:rPr>
          <w:rFonts w:ascii="Sylfaen" w:hAnsi="Sylfaen" w:cstheme="minorHAnsi"/>
          <w:szCs w:val="24"/>
          <w:lang w:val="hy-AM"/>
        </w:rPr>
        <w:t xml:space="preserve"> պայմանագրեր վերջին </w:t>
      </w:r>
      <w:r w:rsidR="008C0956" w:rsidRPr="002D7AB9">
        <w:rPr>
          <w:rFonts w:ascii="Sylfaen" w:hAnsi="Sylfaen" w:cstheme="minorHAnsi"/>
          <w:szCs w:val="24"/>
          <w:lang w:val="hy-AM"/>
        </w:rPr>
        <w:t>հինգ</w:t>
      </w:r>
      <w:r w:rsidR="004757EA" w:rsidRPr="002D7AB9">
        <w:rPr>
          <w:rFonts w:ascii="Sylfaen" w:hAnsi="Sylfaen" w:cstheme="minorHAnsi"/>
          <w:szCs w:val="24"/>
          <w:lang w:val="hy-AM"/>
        </w:rPr>
        <w:t xml:space="preserve"> տարիների ընթացքում, </w:t>
      </w:r>
    </w:p>
    <w:p w:rsidR="004757EA" w:rsidRPr="002D7AB9" w:rsidRDefault="0055617C" w:rsidP="008557BC">
      <w:pPr>
        <w:numPr>
          <w:ilvl w:val="0"/>
          <w:numId w:val="28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</w:t>
      </w:r>
      <w:r w:rsidR="004757EA" w:rsidRPr="002D7AB9">
        <w:rPr>
          <w:rFonts w:ascii="Sylfaen" w:hAnsi="Sylfaen" w:cstheme="minorHAnsi"/>
          <w:szCs w:val="24"/>
          <w:lang w:val="hy-AM"/>
        </w:rPr>
        <w:t xml:space="preserve">Հայտատուն պետք է չունենա մրցութային և պայմանագրային գործընթացների հետ կապված դատական գործառույթներ </w:t>
      </w:r>
      <w:r w:rsidR="008C0956" w:rsidRPr="002D7AB9">
        <w:rPr>
          <w:rFonts w:ascii="Sylfaen" w:hAnsi="Sylfaen" w:cstheme="minorHAnsi"/>
          <w:szCs w:val="24"/>
          <w:lang w:val="hy-AM"/>
        </w:rPr>
        <w:t>«Վեոլիա Գրուպ»</w:t>
      </w:r>
      <w:r w:rsidR="007B254A" w:rsidRPr="002D7AB9">
        <w:rPr>
          <w:rFonts w:ascii="Sylfaen" w:hAnsi="Sylfaen" w:cstheme="minorHAnsi"/>
          <w:szCs w:val="24"/>
          <w:lang w:val="hy-AM"/>
        </w:rPr>
        <w:t>-</w:t>
      </w:r>
      <w:r w:rsidR="008C0956" w:rsidRPr="002D7AB9">
        <w:rPr>
          <w:rFonts w:ascii="Sylfaen" w:hAnsi="Sylfaen" w:cstheme="minorHAnsi"/>
          <w:szCs w:val="24"/>
          <w:lang w:val="hy-AM"/>
        </w:rPr>
        <w:t>ի և վերջինիս</w:t>
      </w:r>
      <w:r w:rsidR="007B254A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8C0956" w:rsidRPr="002D7AB9">
        <w:rPr>
          <w:rFonts w:ascii="Sylfaen" w:hAnsi="Sylfaen" w:cstheme="minorHAnsi"/>
          <w:szCs w:val="24"/>
          <w:lang w:val="hy-AM"/>
        </w:rPr>
        <w:t>պատկանող ստորաբաժանումների և ընկերությունների   հետ</w:t>
      </w:r>
      <w:r w:rsidR="004757EA" w:rsidRPr="002D7AB9">
        <w:rPr>
          <w:rFonts w:ascii="Sylfaen" w:hAnsi="Sylfaen" w:cstheme="minorHAnsi"/>
          <w:szCs w:val="24"/>
          <w:lang w:val="hy-AM"/>
        </w:rPr>
        <w:t>,</w:t>
      </w:r>
    </w:p>
    <w:p w:rsidR="004757EA" w:rsidRPr="002D7AB9" w:rsidRDefault="004757EA" w:rsidP="008557BC">
      <w:pPr>
        <w:numPr>
          <w:ilvl w:val="0"/>
          <w:numId w:val="28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Հայտատուն պետք է ներգրավված չլինի միջազգային դոնոր կազմակերպությունների և ՀՀ ֆինանսների </w:t>
      </w:r>
      <w:r w:rsidR="00555B74" w:rsidRPr="002D7AB9">
        <w:rPr>
          <w:rFonts w:ascii="Sylfaen" w:eastAsia="Calibri" w:hAnsi="Sylfaen"/>
          <w:bCs/>
          <w:szCs w:val="24"/>
          <w:lang w:val="hy-AM"/>
        </w:rPr>
        <w:t>նախարարության գնումների գործընթացին մասնակցելու իրավունք չունեցողների ցանկում /«սև ցուցակ»/</w:t>
      </w:r>
      <w:r w:rsidR="00555B74" w:rsidRPr="002D7AB9">
        <w:rPr>
          <w:rFonts w:ascii="Sylfaen" w:eastAsia="Calibri" w:hAnsi="Sylfaen"/>
          <w:bCs/>
          <w:szCs w:val="24"/>
          <w:lang w:val="hy-AM"/>
        </w:rPr>
        <w:t>,</w:t>
      </w:r>
    </w:p>
    <w:p w:rsidR="004757EA" w:rsidRPr="002D7AB9" w:rsidRDefault="0055617C" w:rsidP="008557BC">
      <w:pPr>
        <w:numPr>
          <w:ilvl w:val="0"/>
          <w:numId w:val="28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</w:t>
      </w:r>
      <w:r w:rsidR="004757EA" w:rsidRPr="002D7AB9">
        <w:rPr>
          <w:rFonts w:ascii="Sylfaen" w:hAnsi="Sylfaen" w:cstheme="minorHAnsi"/>
          <w:szCs w:val="24"/>
          <w:lang w:val="hy-AM"/>
        </w:rPr>
        <w:t xml:space="preserve">Ընկերությունը պետք է սնանկ ճանաչված չլինի, </w:t>
      </w:r>
    </w:p>
    <w:p w:rsidR="004757EA" w:rsidRPr="002D7AB9" w:rsidRDefault="004757EA" w:rsidP="008557BC">
      <w:pPr>
        <w:numPr>
          <w:ilvl w:val="0"/>
          <w:numId w:val="28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Հայտատուները չպետք է ունենան շահերի բախում, հակառակ դեպքում կորակազրկվեն</w:t>
      </w:r>
      <w:r w:rsidRPr="002D7AB9">
        <w:rPr>
          <w:szCs w:val="24"/>
          <w:lang w:val="hy-AM"/>
        </w:rPr>
        <w:t>․</w:t>
      </w:r>
    </w:p>
    <w:p w:rsidR="004757EA" w:rsidRPr="002D7AB9" w:rsidRDefault="004757EA" w:rsidP="0055617C">
      <w:pPr>
        <w:numPr>
          <w:ilvl w:val="0"/>
          <w:numId w:val="27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հրավերի կազմման կամ տեխնիկական բնութագրերի և չափորոշիչների պատրաստման գործընթացներին,</w:t>
      </w:r>
    </w:p>
    <w:p w:rsidR="004757EA" w:rsidRPr="002D7AB9" w:rsidRDefault="004757EA" w:rsidP="0055617C">
      <w:pPr>
        <w:numPr>
          <w:ilvl w:val="0"/>
          <w:numId w:val="27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Շահերի բախում 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</w:t>
      </w:r>
      <w:r w:rsidR="00FA3D2C" w:rsidRPr="002D7AB9">
        <w:rPr>
          <w:rFonts w:ascii="Sylfaen" w:hAnsi="Sylfaen" w:cstheme="minorHAnsi"/>
          <w:szCs w:val="24"/>
          <w:lang w:val="hy-AM"/>
        </w:rPr>
        <w:t>հրավերով սահմանված չափորոշիչները</w:t>
      </w:r>
      <w:r w:rsidRPr="002D7AB9">
        <w:rPr>
          <w:rFonts w:ascii="Sylfaen" w:hAnsi="Sylfaen" w:cstheme="minorHAnsi"/>
          <w:szCs w:val="24"/>
          <w:lang w:val="hy-AM"/>
        </w:rPr>
        <w:t xml:space="preserve"> կամ կազմել է տեխնիկական</w:t>
      </w:r>
      <w:r w:rsidR="00FA3D2C" w:rsidRPr="002D7AB9">
        <w:rPr>
          <w:rFonts w:ascii="Sylfaen" w:hAnsi="Sylfaen" w:cstheme="minorHAnsi"/>
          <w:szCs w:val="24"/>
          <w:lang w:val="hy-AM"/>
        </w:rPr>
        <w:t xml:space="preserve"> մասնագրերը և պահանջները</w:t>
      </w:r>
      <w:r w:rsidR="0055617C" w:rsidRPr="002D7AB9">
        <w:rPr>
          <w:rFonts w:ascii="Sylfaen" w:hAnsi="Sylfaen" w:cstheme="minorHAnsi"/>
          <w:szCs w:val="24"/>
          <w:lang w:val="hy-AM"/>
        </w:rPr>
        <w:t>,</w:t>
      </w:r>
    </w:p>
    <w:p w:rsidR="004757EA" w:rsidRPr="002D7AB9" w:rsidRDefault="004757EA" w:rsidP="0055617C">
      <w:pPr>
        <w:numPr>
          <w:ilvl w:val="0"/>
          <w:numId w:val="27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Շահերի բախում  է համարվում, եթե Հայտատուններն ունեն սերտ բիզնես կամ ընտանեկան հարաբերություններ «Վեոլիա Ջուր» ՓԲԸ-ի մասնագիտական </w:t>
      </w:r>
      <w:r w:rsidRPr="002D7AB9">
        <w:rPr>
          <w:szCs w:val="24"/>
          <w:lang w:val="hy-AM"/>
        </w:rPr>
        <w:t>​​</w:t>
      </w:r>
      <w:r w:rsidRPr="002D7AB9">
        <w:rPr>
          <w:rFonts w:ascii="Sylfaen" w:hAnsi="Sylfaen" w:cs="Sylfaen"/>
          <w:szCs w:val="24"/>
          <w:lang w:val="hy-AM"/>
        </w:rPr>
        <w:t>անձնակազմի</w:t>
      </w:r>
      <w:r w:rsidR="0055617C" w:rsidRPr="002D7AB9">
        <w:rPr>
          <w:rFonts w:ascii="Sylfaen" w:hAnsi="Sylfaen" w:cs="Sylfaen"/>
          <w:szCs w:val="24"/>
          <w:lang w:val="hy-AM"/>
        </w:rPr>
        <w:t xml:space="preserve"> </w:t>
      </w:r>
      <w:r w:rsidRPr="002D7AB9">
        <w:rPr>
          <w:rFonts w:ascii="Sylfaen" w:hAnsi="Sylfaen" w:cs="Sylfaen"/>
          <w:szCs w:val="24"/>
          <w:lang w:val="hy-AM"/>
        </w:rPr>
        <w:t>հետ</w:t>
      </w:r>
      <w:r w:rsidRPr="002D7AB9">
        <w:rPr>
          <w:rFonts w:ascii="Sylfaen" w:hAnsi="Sylfaen" w:cstheme="minorHAnsi"/>
          <w:szCs w:val="24"/>
          <w:lang w:val="hy-AM"/>
        </w:rPr>
        <w:t xml:space="preserve">, </w:t>
      </w:r>
      <w:r w:rsidRPr="002D7AB9">
        <w:rPr>
          <w:rFonts w:ascii="Sylfaen" w:hAnsi="Sylfaen" w:cs="Sylfaen"/>
          <w:szCs w:val="24"/>
          <w:lang w:val="hy-AM"/>
        </w:rPr>
        <w:t>որ</w:t>
      </w:r>
      <w:r w:rsidR="0055617C" w:rsidRPr="002D7AB9">
        <w:rPr>
          <w:rFonts w:ascii="Sylfaen" w:hAnsi="Sylfaen" w:cs="Sylfaen"/>
          <w:szCs w:val="24"/>
          <w:lang w:val="hy-AM"/>
        </w:rPr>
        <w:t xml:space="preserve">ն </w:t>
      </w:r>
      <w:r w:rsidRPr="002D7AB9">
        <w:rPr>
          <w:rFonts w:ascii="Sylfaen" w:hAnsi="Sylfaen" w:cs="Sylfaen"/>
          <w:szCs w:val="24"/>
          <w:lang w:val="hy-AM"/>
        </w:rPr>
        <w:t>ուղղակի</w:t>
      </w:r>
      <w:r w:rsidR="0055617C" w:rsidRPr="002D7AB9">
        <w:rPr>
          <w:rFonts w:ascii="Sylfaen" w:hAnsi="Sylfaen" w:cs="Sylfaen"/>
          <w:szCs w:val="24"/>
          <w:lang w:val="hy-AM"/>
        </w:rPr>
        <w:t xml:space="preserve"> </w:t>
      </w:r>
      <w:r w:rsidRPr="002D7AB9">
        <w:rPr>
          <w:rFonts w:ascii="Sylfaen" w:hAnsi="Sylfaen" w:cs="Sylfaen"/>
          <w:szCs w:val="24"/>
          <w:lang w:val="hy-AM"/>
        </w:rPr>
        <w:t>կամ</w:t>
      </w:r>
      <w:r w:rsidR="0055617C" w:rsidRPr="002D7AB9">
        <w:rPr>
          <w:rFonts w:ascii="Sylfaen" w:hAnsi="Sylfaen" w:cs="Sylfaen"/>
          <w:szCs w:val="24"/>
          <w:lang w:val="hy-AM"/>
        </w:rPr>
        <w:t xml:space="preserve"> </w:t>
      </w:r>
      <w:r w:rsidRPr="002D7AB9">
        <w:rPr>
          <w:rFonts w:ascii="Sylfaen" w:hAnsi="Sylfaen" w:cs="Sylfaen"/>
          <w:szCs w:val="24"/>
          <w:lang w:val="hy-AM"/>
        </w:rPr>
        <w:t>անուղղակի</w:t>
      </w:r>
      <w:r w:rsidR="0055617C" w:rsidRPr="002D7AB9">
        <w:rPr>
          <w:rFonts w:ascii="Sylfaen" w:hAnsi="Sylfaen" w:cs="Sylfaen"/>
          <w:szCs w:val="24"/>
          <w:lang w:val="hy-AM"/>
        </w:rPr>
        <w:t xml:space="preserve"> </w:t>
      </w:r>
      <w:r w:rsidRPr="002D7AB9">
        <w:rPr>
          <w:rFonts w:ascii="Sylfaen" w:hAnsi="Sylfaen" w:cs="Sylfaen"/>
          <w:szCs w:val="24"/>
          <w:lang w:val="hy-AM"/>
        </w:rPr>
        <w:t>ներգրավված</w:t>
      </w:r>
      <w:r w:rsidR="0055617C" w:rsidRPr="002D7AB9">
        <w:rPr>
          <w:rFonts w:ascii="Sylfaen" w:hAnsi="Sylfaen" w:cs="Sylfaen"/>
          <w:szCs w:val="24"/>
          <w:lang w:val="hy-AM"/>
        </w:rPr>
        <w:t xml:space="preserve"> է</w:t>
      </w:r>
      <w:r w:rsidR="000D34DE" w:rsidRPr="002D7AB9">
        <w:rPr>
          <w:rFonts w:ascii="Sylfaen" w:hAnsi="Sylfaen" w:cstheme="minorHAnsi"/>
          <w:szCs w:val="24"/>
          <w:lang w:val="hy-AM"/>
        </w:rPr>
        <w:t xml:space="preserve"> սույն նախա</w:t>
      </w:r>
      <w:r w:rsidRPr="002D7AB9">
        <w:rPr>
          <w:rFonts w:ascii="Sylfaen" w:hAnsi="Sylfaen" w:cstheme="minorHAnsi"/>
          <w:szCs w:val="24"/>
          <w:lang w:val="hy-AM"/>
        </w:rPr>
        <w:t>որակ</w:t>
      </w:r>
      <w:r w:rsidR="0055617C" w:rsidRPr="002D7AB9">
        <w:rPr>
          <w:rFonts w:ascii="Sylfaen" w:hAnsi="Sylfaen" w:cstheme="minorHAnsi"/>
          <w:szCs w:val="24"/>
          <w:lang w:val="hy-AM"/>
        </w:rPr>
        <w:t>ա</w:t>
      </w:r>
      <w:r w:rsidRPr="002D7AB9">
        <w:rPr>
          <w:rFonts w:ascii="Sylfaen" w:hAnsi="Sylfaen" w:cstheme="minorHAnsi"/>
          <w:szCs w:val="24"/>
          <w:lang w:val="hy-AM"/>
        </w:rPr>
        <w:t>որման փաստաթղ</w:t>
      </w:r>
      <w:r w:rsidR="0055617C" w:rsidRPr="002D7AB9">
        <w:rPr>
          <w:rFonts w:ascii="Sylfaen" w:hAnsi="Sylfaen" w:cstheme="minorHAnsi"/>
          <w:szCs w:val="24"/>
          <w:lang w:val="hy-AM"/>
        </w:rPr>
        <w:t>թերի</w:t>
      </w:r>
      <w:r w:rsidRPr="002D7AB9">
        <w:rPr>
          <w:rFonts w:ascii="Sylfaen" w:hAnsi="Sylfaen" w:cstheme="minorHAnsi"/>
          <w:szCs w:val="24"/>
          <w:lang w:val="hy-AM"/>
        </w:rPr>
        <w:t xml:space="preserve"> պատրաստման և հայտերի գնահատման մեջ կամ հետագայում կներգրավվ</w:t>
      </w:r>
      <w:r w:rsidR="0055617C" w:rsidRPr="002D7AB9">
        <w:rPr>
          <w:rFonts w:ascii="Sylfaen" w:hAnsi="Sylfaen" w:cstheme="minorHAnsi"/>
          <w:szCs w:val="24"/>
          <w:lang w:val="hy-AM"/>
        </w:rPr>
        <w:t>ի</w:t>
      </w:r>
      <w:r w:rsidRPr="002D7AB9">
        <w:rPr>
          <w:rFonts w:ascii="Sylfaen" w:hAnsi="Sylfaen" w:cstheme="minorHAnsi"/>
          <w:szCs w:val="24"/>
          <w:lang w:val="hy-AM"/>
        </w:rPr>
        <w:t xml:space="preserve"> աշխատանքների վերահսկման ծառայությո</w:t>
      </w:r>
      <w:r w:rsidR="00FA3D2C" w:rsidRPr="002D7AB9">
        <w:rPr>
          <w:rFonts w:ascii="Sylfaen" w:hAnsi="Sylfaen" w:cstheme="minorHAnsi"/>
          <w:szCs w:val="24"/>
          <w:lang w:val="hy-AM"/>
        </w:rPr>
        <w:t>ւնների մատուցման գործառույթների իրականացմանը</w:t>
      </w:r>
      <w:r w:rsidRPr="002D7AB9">
        <w:rPr>
          <w:rFonts w:ascii="Sylfaen" w:hAnsi="Sylfaen" w:cstheme="minorHAnsi"/>
          <w:szCs w:val="24"/>
          <w:lang w:val="hy-AM"/>
        </w:rPr>
        <w:t>, բացառությամբ այն դեպքերի, երբ այդ հարաբերություններից բխող հակամարտությունը «Վեոլիա Ջուր» ՓԲԸ-ի համար ընդունելի ձևով կարգավորվել է նախնական որակավորման, մրցույթների և պայմանագրերի իրականացման ընթացքում:</w:t>
      </w:r>
    </w:p>
    <w:p w:rsidR="00C25DDA" w:rsidRPr="002D7AB9" w:rsidRDefault="00C25DDA" w:rsidP="00C25DDA">
      <w:pPr>
        <w:contextualSpacing/>
        <w:jc w:val="left"/>
        <w:rPr>
          <w:rFonts w:ascii="Sylfaen" w:hAnsi="Sylfaen" w:cstheme="minorHAnsi"/>
          <w:szCs w:val="24"/>
          <w:lang w:val="hy-AM"/>
        </w:rPr>
      </w:pPr>
    </w:p>
    <w:p w:rsidR="00FA3D2C" w:rsidRPr="002D7AB9" w:rsidRDefault="00FA3D2C" w:rsidP="0055617C">
      <w:pPr>
        <w:rPr>
          <w:rFonts w:ascii="Sylfaen" w:hAnsi="Sylfaen" w:cstheme="minorHAnsi"/>
          <w:b/>
          <w:szCs w:val="24"/>
          <w:u w:val="single"/>
          <w:lang w:val="hy-AM"/>
        </w:rPr>
      </w:pPr>
      <w:r w:rsidRPr="002D7AB9">
        <w:rPr>
          <w:rFonts w:ascii="Sylfaen" w:hAnsi="Sylfaen" w:cstheme="minorHAnsi"/>
          <w:b/>
          <w:szCs w:val="24"/>
          <w:u w:val="single"/>
          <w:lang w:val="hy-AM"/>
        </w:rPr>
        <w:t>Հայտատուների որակավորման գնահատման չափանիշներն են՝</w:t>
      </w:r>
    </w:p>
    <w:p w:rsidR="00FA3D2C" w:rsidRPr="002D7AB9" w:rsidRDefault="00FA3D2C" w:rsidP="00FA3D2C">
      <w:pPr>
        <w:ind w:left="-270"/>
        <w:rPr>
          <w:rFonts w:ascii="Sylfaen" w:hAnsi="Sylfaen" w:cstheme="minorHAnsi"/>
          <w:szCs w:val="24"/>
          <w:lang w:val="hy-AM"/>
        </w:rPr>
      </w:pPr>
    </w:p>
    <w:tbl>
      <w:tblPr>
        <w:tblStyle w:val="TableGrid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268"/>
      </w:tblGrid>
      <w:tr w:rsidR="00FA3D2C" w:rsidRPr="002D7AB9" w:rsidTr="00745D11">
        <w:tc>
          <w:tcPr>
            <w:tcW w:w="567" w:type="dxa"/>
          </w:tcPr>
          <w:p w:rsidR="00FA3D2C" w:rsidRPr="002D7AB9" w:rsidRDefault="00FA3D2C" w:rsidP="00C60C1C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հ/հ</w:t>
            </w:r>
          </w:p>
        </w:tc>
        <w:tc>
          <w:tcPr>
            <w:tcW w:w="6379" w:type="dxa"/>
          </w:tcPr>
          <w:p w:rsidR="00FA3D2C" w:rsidRPr="002D7AB9" w:rsidRDefault="00FA3D2C" w:rsidP="00C60C1C">
            <w:pPr>
              <w:ind w:left="252"/>
              <w:jc w:val="left"/>
              <w:rPr>
                <w:rFonts w:ascii="Sylfaen" w:hAnsi="Sylfaen" w:cstheme="minorHAnsi"/>
                <w:b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b/>
                <w:szCs w:val="24"/>
                <w:lang w:val="hy-AM"/>
              </w:rPr>
              <w:t>Հայտատուների որակավորման չափանիշները</w:t>
            </w:r>
          </w:p>
        </w:tc>
        <w:tc>
          <w:tcPr>
            <w:tcW w:w="2268" w:type="dxa"/>
          </w:tcPr>
          <w:p w:rsidR="00FA3D2C" w:rsidRPr="002D7AB9" w:rsidRDefault="00FA3D2C" w:rsidP="00C35F7A">
            <w:pPr>
              <w:ind w:left="6"/>
              <w:jc w:val="center"/>
              <w:rPr>
                <w:rFonts w:ascii="Sylfaen" w:hAnsi="Sylfaen" w:cstheme="minorHAnsi"/>
                <w:b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b/>
                <w:szCs w:val="24"/>
                <w:lang w:val="hy-AM"/>
              </w:rPr>
              <w:t xml:space="preserve">Առավելագույն </w:t>
            </w:r>
            <w:r w:rsidR="00C35F7A" w:rsidRPr="002D7AB9">
              <w:rPr>
                <w:rFonts w:ascii="Sylfaen" w:hAnsi="Sylfaen" w:cstheme="minorHAnsi"/>
                <w:b/>
                <w:szCs w:val="24"/>
                <w:lang w:val="hy-AM"/>
              </w:rPr>
              <w:t>միավորները</w:t>
            </w:r>
          </w:p>
        </w:tc>
      </w:tr>
      <w:tr w:rsidR="00FA3D2C" w:rsidRPr="002D7AB9" w:rsidTr="00745D11">
        <w:tc>
          <w:tcPr>
            <w:tcW w:w="567" w:type="dxa"/>
          </w:tcPr>
          <w:p w:rsidR="00FA3D2C" w:rsidRPr="002D7AB9" w:rsidRDefault="00FA3D2C" w:rsidP="00C60C1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1</w:t>
            </w:r>
          </w:p>
        </w:tc>
        <w:tc>
          <w:tcPr>
            <w:tcW w:w="6379" w:type="dxa"/>
          </w:tcPr>
          <w:p w:rsidR="00D27D6A" w:rsidRPr="002D7AB9" w:rsidRDefault="00FA3D2C" w:rsidP="00D27D6A">
            <w:pPr>
              <w:ind w:left="72"/>
              <w:jc w:val="left"/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</w:pPr>
            <w:r w:rsidRPr="002D7AB9">
              <w:rPr>
                <w:rFonts w:ascii="Sylfaen" w:hAnsi="Sylfaen" w:cs="Arial"/>
                <w:color w:val="000000" w:themeColor="text1"/>
                <w:szCs w:val="24"/>
                <w:lang w:val="hy-AM"/>
              </w:rPr>
              <w:t>Ընկերության</w:t>
            </w:r>
            <w:r w:rsidR="009E4079" w:rsidRPr="002D7AB9">
              <w:rPr>
                <w:rFonts w:ascii="Sylfaen" w:hAnsi="Sylfaen" w:cs="Arial"/>
                <w:color w:val="000000" w:themeColor="text1"/>
                <w:szCs w:val="24"/>
                <w:lang w:val="hy-AM"/>
              </w:rPr>
              <w:t xml:space="preserve"> </w:t>
            </w: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ընդհանուր փորձը,</w:t>
            </w:r>
          </w:p>
          <w:p w:rsidR="00FA3D2C" w:rsidRPr="002D7AB9" w:rsidRDefault="00FA3D2C" w:rsidP="00D27D6A">
            <w:pPr>
              <w:ind w:left="72"/>
              <w:jc w:val="left"/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 xml:space="preserve">գործունեության հիմնական տեսակը և </w:t>
            </w:r>
            <w:r w:rsidR="00D27D6A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փորձը</w:t>
            </w: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 xml:space="preserve"> ըստ տարիների</w:t>
            </w:r>
            <w:r w:rsidR="00D26102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 xml:space="preserve"> և ըստ տեսակների</w:t>
            </w: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, ՀՀ-ում</w:t>
            </w:r>
          </w:p>
        </w:tc>
        <w:tc>
          <w:tcPr>
            <w:tcW w:w="2268" w:type="dxa"/>
          </w:tcPr>
          <w:p w:rsidR="00D26102" w:rsidRPr="002D7AB9" w:rsidRDefault="00D26102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</w:p>
          <w:p w:rsidR="00FA3D2C" w:rsidRPr="002D7AB9" w:rsidRDefault="00FA3D2C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20</w:t>
            </w:r>
          </w:p>
        </w:tc>
      </w:tr>
      <w:tr w:rsidR="00FA3D2C" w:rsidRPr="002D7AB9" w:rsidTr="00745D11">
        <w:tc>
          <w:tcPr>
            <w:tcW w:w="567" w:type="dxa"/>
          </w:tcPr>
          <w:p w:rsidR="00FA3D2C" w:rsidRPr="002D7AB9" w:rsidRDefault="00FA3D2C" w:rsidP="00C60C1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4"/>
                <w:lang w:val="en-US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6379" w:type="dxa"/>
          </w:tcPr>
          <w:p w:rsidR="00FA3D2C" w:rsidRPr="002D7AB9" w:rsidRDefault="00D27D6A" w:rsidP="00D26102">
            <w:pPr>
              <w:ind w:left="72"/>
              <w:jc w:val="left"/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Վերջին 10</w:t>
            </w:r>
            <w:r w:rsidR="00FA3D2C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 xml:space="preserve"> տարիներում կատարված </w:t>
            </w:r>
            <w:r w:rsidR="00D26102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համանման</w:t>
            </w:r>
            <w:r w:rsidR="00FA3D2C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 xml:space="preserve"> աշխատանքների </w:t>
            </w:r>
            <w:r w:rsidR="00D26102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 xml:space="preserve">թիվը և </w:t>
            </w:r>
            <w:r w:rsidR="00FA3D2C"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ծավալները</w:t>
            </w: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՝ ՀՀ-ում</w:t>
            </w:r>
          </w:p>
          <w:p w:rsidR="00D26102" w:rsidRPr="002D7AB9" w:rsidRDefault="00D27D6A" w:rsidP="00D27D6A">
            <w:pPr>
              <w:ind w:left="72"/>
              <w:jc w:val="left"/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color w:val="000000" w:themeColor="text1"/>
                <w:szCs w:val="24"/>
                <w:lang w:val="hy-AM"/>
              </w:rPr>
              <w:t>Ըստ ծրագրերի, տեսակների և տարիների</w:t>
            </w:r>
          </w:p>
        </w:tc>
        <w:tc>
          <w:tcPr>
            <w:tcW w:w="2268" w:type="dxa"/>
          </w:tcPr>
          <w:p w:rsidR="00D26102" w:rsidRPr="002D7AB9" w:rsidRDefault="00D26102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</w:p>
          <w:p w:rsidR="00FA3D2C" w:rsidRPr="002D7AB9" w:rsidRDefault="00FA3D2C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40</w:t>
            </w:r>
          </w:p>
        </w:tc>
      </w:tr>
      <w:tr w:rsidR="00FA3D2C" w:rsidRPr="002D7AB9" w:rsidTr="00745D11">
        <w:tc>
          <w:tcPr>
            <w:tcW w:w="567" w:type="dxa"/>
          </w:tcPr>
          <w:p w:rsidR="00FA3D2C" w:rsidRPr="002D7AB9" w:rsidRDefault="00FA3D2C" w:rsidP="00C60C1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3</w:t>
            </w:r>
          </w:p>
        </w:tc>
        <w:tc>
          <w:tcPr>
            <w:tcW w:w="6379" w:type="dxa"/>
          </w:tcPr>
          <w:p w:rsidR="00FA3D2C" w:rsidRPr="002D7AB9" w:rsidRDefault="00D26102" w:rsidP="00D26102">
            <w:pPr>
              <w:ind w:left="72"/>
              <w:jc w:val="left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Ընկերության տեխնիկական կարողությունները՝ գրասենյակային, լաբորատոր և մոն</w:t>
            </w:r>
            <w:bookmarkStart w:id="0" w:name="_GoBack"/>
            <w:bookmarkEnd w:id="0"/>
            <w:r w:rsidRPr="002D7AB9">
              <w:rPr>
                <w:rFonts w:ascii="Sylfaen" w:hAnsi="Sylfaen" w:cstheme="minorHAnsi"/>
                <w:szCs w:val="24"/>
                <w:lang w:val="hy-AM"/>
              </w:rPr>
              <w:t>իտորինգի արդիական սարքավորումներ և այլն</w:t>
            </w:r>
            <w:r w:rsidR="00D27D6A" w:rsidRPr="002D7AB9">
              <w:rPr>
                <w:rFonts w:ascii="Sylfaen" w:hAnsi="Sylfaen" w:cstheme="minorHAnsi"/>
                <w:szCs w:val="24"/>
                <w:lang w:val="hy-AM"/>
              </w:rPr>
              <w:t xml:space="preserve"> միջոցներ</w:t>
            </w:r>
          </w:p>
        </w:tc>
        <w:tc>
          <w:tcPr>
            <w:tcW w:w="2268" w:type="dxa"/>
          </w:tcPr>
          <w:p w:rsidR="00D26102" w:rsidRPr="002D7AB9" w:rsidRDefault="00D26102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</w:p>
          <w:p w:rsidR="00FA3D2C" w:rsidRPr="002D7AB9" w:rsidRDefault="00D27D6A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15</w:t>
            </w:r>
          </w:p>
        </w:tc>
      </w:tr>
      <w:tr w:rsidR="00FA3D2C" w:rsidRPr="002D7AB9" w:rsidTr="00745D11">
        <w:tc>
          <w:tcPr>
            <w:tcW w:w="567" w:type="dxa"/>
          </w:tcPr>
          <w:p w:rsidR="00FA3D2C" w:rsidRPr="002D7AB9" w:rsidRDefault="00FA3D2C" w:rsidP="00C60C1C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4</w:t>
            </w:r>
          </w:p>
        </w:tc>
        <w:tc>
          <w:tcPr>
            <w:tcW w:w="6379" w:type="dxa"/>
          </w:tcPr>
          <w:p w:rsidR="00FA3D2C" w:rsidRPr="002D7AB9" w:rsidRDefault="00D26102" w:rsidP="00C60C1C">
            <w:pPr>
              <w:ind w:left="72"/>
              <w:jc w:val="left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Ընկերության կառավարչական կարողությունները, կառուցվածք, աշխատակազմ, աշխատակիցների թիվ, որակավորում և աշխատանքային փորձ ըստ տարիների</w:t>
            </w:r>
          </w:p>
        </w:tc>
        <w:tc>
          <w:tcPr>
            <w:tcW w:w="2268" w:type="dxa"/>
          </w:tcPr>
          <w:p w:rsidR="00D26102" w:rsidRPr="002D7AB9" w:rsidRDefault="00D26102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</w:p>
          <w:p w:rsidR="00FA3D2C" w:rsidRPr="002D7AB9" w:rsidRDefault="00D27D6A" w:rsidP="00C60C1C">
            <w:pPr>
              <w:ind w:left="6"/>
              <w:jc w:val="center"/>
              <w:rPr>
                <w:rFonts w:ascii="Sylfaen" w:hAnsi="Sylfaen" w:cstheme="minorHAnsi"/>
                <w:szCs w:val="24"/>
                <w:lang w:val="hy-AM"/>
              </w:rPr>
            </w:pPr>
            <w:r w:rsidRPr="002D7AB9">
              <w:rPr>
                <w:rFonts w:ascii="Sylfaen" w:hAnsi="Sylfaen" w:cstheme="minorHAnsi"/>
                <w:szCs w:val="24"/>
                <w:lang w:val="hy-AM"/>
              </w:rPr>
              <w:t>25</w:t>
            </w:r>
          </w:p>
        </w:tc>
      </w:tr>
    </w:tbl>
    <w:p w:rsidR="00FA3D2C" w:rsidRPr="002D7AB9" w:rsidRDefault="00FA3D2C" w:rsidP="00FA3D2C">
      <w:pPr>
        <w:rPr>
          <w:rFonts w:ascii="Sylfaen" w:hAnsi="Sylfaen" w:cstheme="minorHAnsi"/>
          <w:b/>
          <w:szCs w:val="24"/>
          <w:lang w:val="en-US"/>
        </w:rPr>
      </w:pPr>
    </w:p>
    <w:p w:rsidR="00622496" w:rsidRPr="002D7AB9" w:rsidRDefault="001C2FDD" w:rsidP="001C2FDD">
      <w:pPr>
        <w:ind w:left="-270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b/>
          <w:szCs w:val="24"/>
          <w:lang w:val="hy-AM"/>
        </w:rPr>
        <w:t xml:space="preserve">     </w:t>
      </w:r>
      <w:r w:rsidR="00622496" w:rsidRPr="002D7AB9">
        <w:rPr>
          <w:rFonts w:ascii="Sylfaen" w:hAnsi="Sylfaen" w:cstheme="minorHAnsi"/>
          <w:b/>
          <w:szCs w:val="24"/>
          <w:lang w:val="hy-AM"/>
        </w:rPr>
        <w:t>Վերը նշված աշխատանքների համար որակավորված կազմակերպությունների ցուցակում կներառվեն խորհրդատվական առավելագույն բարձր միավորներ հավաքած 3 ընկերություն</w:t>
      </w:r>
      <w:r w:rsidR="00622496" w:rsidRPr="002D7AB9">
        <w:rPr>
          <w:rFonts w:ascii="Sylfaen" w:hAnsi="Sylfaen" w:cstheme="minorHAnsi"/>
          <w:szCs w:val="24"/>
          <w:lang w:val="hy-AM"/>
        </w:rPr>
        <w:t>:</w:t>
      </w:r>
    </w:p>
    <w:p w:rsidR="00622496" w:rsidRPr="002D7AB9" w:rsidRDefault="00622496" w:rsidP="001C2FDD">
      <w:pPr>
        <w:ind w:left="-270" w:firstLine="270"/>
        <w:rPr>
          <w:rFonts w:ascii="Sylfaen" w:hAnsi="Sylfaen" w:cstheme="minorHAnsi"/>
          <w:b/>
          <w:szCs w:val="24"/>
          <w:lang w:val="hy-AM"/>
        </w:rPr>
      </w:pPr>
      <w:r w:rsidRPr="002D7AB9">
        <w:rPr>
          <w:rFonts w:ascii="Sylfaen" w:hAnsi="Sylfaen" w:cstheme="minorHAnsi"/>
          <w:b/>
          <w:szCs w:val="24"/>
          <w:lang w:val="hy-AM"/>
        </w:rPr>
        <w:t xml:space="preserve">«Վեոլիա Ջուր» ՓԲԸ-ն իրեն իրավունք է վերապահում </w:t>
      </w:r>
      <w:r w:rsidR="001C2FDD" w:rsidRPr="002D7AB9">
        <w:rPr>
          <w:rFonts w:ascii="Sylfaen" w:hAnsi="Sylfaen" w:cstheme="minorHAnsi"/>
          <w:b/>
          <w:szCs w:val="24"/>
          <w:lang w:val="hy-AM"/>
        </w:rPr>
        <w:t>«</w:t>
      </w:r>
      <w:r w:rsidRPr="002D7AB9">
        <w:rPr>
          <w:rFonts w:ascii="Sylfaen" w:hAnsi="Sylfaen" w:cstheme="minorHAnsi"/>
          <w:b/>
          <w:szCs w:val="24"/>
          <w:lang w:val="hy-AM"/>
        </w:rPr>
        <w:t>կարճ ցուցակից</w:t>
      </w:r>
      <w:r w:rsidR="001C2FDD" w:rsidRPr="002D7AB9">
        <w:rPr>
          <w:rFonts w:ascii="Sylfaen" w:hAnsi="Sylfaen" w:cstheme="minorHAnsi"/>
          <w:b/>
          <w:szCs w:val="24"/>
          <w:lang w:val="hy-AM"/>
        </w:rPr>
        <w:t>»</w:t>
      </w:r>
      <w:r w:rsidRPr="002D7AB9">
        <w:rPr>
          <w:rFonts w:ascii="Sylfaen" w:hAnsi="Sylfaen" w:cstheme="minorHAnsi"/>
          <w:b/>
          <w:szCs w:val="24"/>
          <w:lang w:val="hy-AM"/>
        </w:rPr>
        <w:t xml:space="preserve"> հանել այն կազմակերպություններին, որոնք տևական ժամանակ խուսափում են և չեն մասնակցում  Ընկերության կողմից սույն հրավերի շրջանակներում կազմակերպված մրցույթներին և պարբերաբար  հրաժարվում են պատվիրատուի նկատմամբ ստանձնած պարտավորությունների կատարումից։</w:t>
      </w:r>
    </w:p>
    <w:p w:rsidR="00FA3D2C" w:rsidRPr="002D7AB9" w:rsidRDefault="00FA3D2C" w:rsidP="00FA3D2C">
      <w:pPr>
        <w:ind w:left="-270"/>
        <w:rPr>
          <w:rFonts w:ascii="Sylfaen" w:hAnsi="Sylfaen" w:cstheme="minorHAnsi"/>
          <w:b/>
          <w:szCs w:val="24"/>
          <w:lang w:val="hy-AM"/>
        </w:rPr>
      </w:pPr>
    </w:p>
    <w:p w:rsidR="00FA3D2C" w:rsidRPr="002D7AB9" w:rsidRDefault="00FA3D2C" w:rsidP="001C2FDD">
      <w:pPr>
        <w:rPr>
          <w:rFonts w:ascii="Sylfaen" w:hAnsi="Sylfaen" w:cstheme="minorHAnsi"/>
          <w:b/>
          <w:szCs w:val="24"/>
          <w:u w:val="single"/>
          <w:lang w:val="hy-AM"/>
        </w:rPr>
      </w:pPr>
      <w:r w:rsidRPr="002D7AB9">
        <w:rPr>
          <w:rFonts w:ascii="Sylfaen" w:hAnsi="Sylfaen" w:cstheme="minorHAnsi"/>
          <w:b/>
          <w:szCs w:val="24"/>
          <w:u w:val="single"/>
          <w:lang w:val="hy-AM"/>
        </w:rPr>
        <w:t>Հայտատուների կողմից ներկայացվելիք փաստաթղթերի ցանկը՝</w:t>
      </w:r>
    </w:p>
    <w:p w:rsidR="00FA3D2C" w:rsidRPr="002D7AB9" w:rsidRDefault="00FA3D2C" w:rsidP="00FA3D2C">
      <w:pPr>
        <w:ind w:left="-270"/>
        <w:rPr>
          <w:rFonts w:ascii="Sylfaen" w:hAnsi="Sylfaen" w:cstheme="minorHAnsi"/>
          <w:b/>
          <w:szCs w:val="24"/>
          <w:lang w:val="hy-AM"/>
        </w:rPr>
      </w:pPr>
    </w:p>
    <w:p w:rsidR="00FA3D2C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Դիմում սույն մրցույթին մասնակցելու շահագրգռվածության և դրա պահանջներին բավարարելու վերաբերյալ։</w:t>
      </w:r>
    </w:p>
    <w:p w:rsidR="00FA3D2C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Պետական ռեգիստրի վկայական, կանոնադրություն, բաժնետերերի մասին տեղեկատվություն:</w:t>
      </w:r>
    </w:p>
    <w:p w:rsidR="00FA3D2C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Վերջին երեք տարիների հաշվապահական հաշվեկշիռները՝ վավերացված հարկային մարմինների կողմից:</w:t>
      </w:r>
    </w:p>
    <w:p w:rsidR="00FA3D2C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Վերջին 3 տարիների համար աուդիտի հաշվետվություններ (առկայության դեպքում):</w:t>
      </w:r>
    </w:p>
    <w:p w:rsidR="00FA3D2C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Վերջին 3 տարիներում </w:t>
      </w:r>
      <w:r w:rsidR="00B72B36" w:rsidRPr="002D7AB9">
        <w:rPr>
          <w:rFonts w:ascii="Sylfaen" w:hAnsi="Sylfaen" w:cstheme="minorHAnsi"/>
          <w:szCs w:val="24"/>
          <w:lang w:val="hy-AM"/>
        </w:rPr>
        <w:t>մատուցված ընդհանուր ծառայությունների</w:t>
      </w:r>
      <w:r w:rsidRPr="002D7AB9">
        <w:rPr>
          <w:rFonts w:ascii="Sylfaen" w:hAnsi="Sylfaen" w:cstheme="minorHAnsi"/>
          <w:szCs w:val="24"/>
          <w:lang w:val="hy-AM"/>
        </w:rPr>
        <w:t xml:space="preserve"> ծավալները:</w:t>
      </w:r>
    </w:p>
    <w:p w:rsidR="00FA3D2C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Վերջին </w:t>
      </w:r>
      <w:r w:rsidR="00EE7E32" w:rsidRPr="002D7AB9">
        <w:rPr>
          <w:rFonts w:ascii="Sylfaen" w:hAnsi="Sylfaen" w:cstheme="minorHAnsi"/>
          <w:szCs w:val="24"/>
          <w:lang w:val="hy-AM"/>
        </w:rPr>
        <w:t>3</w:t>
      </w:r>
      <w:r w:rsidRPr="002D7AB9">
        <w:rPr>
          <w:rFonts w:ascii="Sylfaen" w:hAnsi="Sylfaen" w:cstheme="minorHAnsi"/>
          <w:szCs w:val="24"/>
          <w:lang w:val="hy-AM"/>
        </w:rPr>
        <w:t xml:space="preserve"> տարվա կատարված աշխատանքների </w:t>
      </w:r>
      <w:r w:rsidR="00EE7E32" w:rsidRPr="002D7AB9">
        <w:rPr>
          <w:rFonts w:ascii="Sylfaen" w:hAnsi="Sylfaen" w:cstheme="minorHAnsi"/>
          <w:szCs w:val="24"/>
          <w:lang w:val="hy-AM"/>
        </w:rPr>
        <w:t xml:space="preserve">ընդհանուր հասույթը տվյալ կազմակերպության կողմից մատուցված ծառայությունների դիմաց </w:t>
      </w:r>
      <w:r w:rsidRPr="002D7AB9">
        <w:rPr>
          <w:rFonts w:ascii="Sylfaen" w:hAnsi="Sylfaen" w:cstheme="minorHAnsi"/>
          <w:szCs w:val="24"/>
          <w:lang w:val="hy-AM"/>
        </w:rPr>
        <w:t xml:space="preserve"> լինի ոչ պակաս, քան </w:t>
      </w:r>
      <w:r w:rsidR="00C25DDA" w:rsidRPr="002D7AB9">
        <w:rPr>
          <w:rFonts w:ascii="Sylfaen" w:hAnsi="Sylfaen" w:cstheme="minorHAnsi"/>
          <w:szCs w:val="24"/>
          <w:lang w:val="hy-AM"/>
        </w:rPr>
        <w:t>20</w:t>
      </w:r>
      <w:r w:rsidR="00B72B36" w:rsidRPr="002D7AB9">
        <w:rPr>
          <w:rFonts w:ascii="Sylfaen" w:hAnsi="Sylfaen" w:cstheme="minorHAnsi"/>
          <w:szCs w:val="24"/>
          <w:lang w:val="hy-AM"/>
        </w:rPr>
        <w:t xml:space="preserve"> </w:t>
      </w:r>
      <w:r w:rsidRPr="002D7AB9">
        <w:rPr>
          <w:rFonts w:ascii="Sylfaen" w:hAnsi="Sylfaen" w:cstheme="minorHAnsi"/>
          <w:szCs w:val="24"/>
          <w:lang w:val="hy-AM"/>
        </w:rPr>
        <w:t xml:space="preserve">մլն. ՀՀ դրամը, իսկ վերջին մեկ տարվա ընթացքում կատարված աշխատանքների արժեքը լինի ոչ պակաս, քան </w:t>
      </w:r>
      <w:r w:rsidR="00C25DDA" w:rsidRPr="002D7AB9">
        <w:rPr>
          <w:rFonts w:ascii="Sylfaen" w:hAnsi="Sylfaen" w:cstheme="minorHAnsi"/>
          <w:szCs w:val="24"/>
          <w:lang w:val="hy-AM"/>
        </w:rPr>
        <w:t>5</w:t>
      </w:r>
      <w:r w:rsidR="00B72B36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8557BC" w:rsidRPr="002D7AB9">
        <w:rPr>
          <w:rFonts w:ascii="Sylfaen" w:hAnsi="Sylfaen" w:cstheme="minorHAnsi"/>
          <w:szCs w:val="24"/>
          <w:lang w:val="hy-AM"/>
        </w:rPr>
        <w:t xml:space="preserve">մլն </w:t>
      </w:r>
      <w:r w:rsidRPr="002D7AB9">
        <w:rPr>
          <w:rFonts w:ascii="Sylfaen" w:hAnsi="Sylfaen" w:cstheme="minorHAnsi"/>
          <w:szCs w:val="24"/>
          <w:lang w:val="hy-AM"/>
        </w:rPr>
        <w:t>ՀՀ դրամը</w:t>
      </w:r>
      <w:r w:rsidR="008557BC" w:rsidRPr="002D7AB9">
        <w:rPr>
          <w:rFonts w:ascii="Sylfaen" w:hAnsi="Sylfaen" w:cstheme="minorHAnsi"/>
          <w:szCs w:val="24"/>
          <w:lang w:val="hy-AM"/>
        </w:rPr>
        <w:t xml:space="preserve"> /</w:t>
      </w:r>
      <w:r w:rsidRPr="002D7AB9">
        <w:rPr>
          <w:rFonts w:ascii="Sylfaen" w:hAnsi="Sylfaen" w:cstheme="minorHAnsi"/>
          <w:szCs w:val="24"/>
          <w:lang w:val="hy-AM"/>
        </w:rPr>
        <w:t>կից պետք է ներկայացվեն համապատասխան</w:t>
      </w:r>
      <w:r w:rsidR="00B72B36" w:rsidRPr="002D7AB9">
        <w:rPr>
          <w:rFonts w:ascii="Sylfaen" w:hAnsi="Sylfaen" w:cstheme="minorHAnsi"/>
          <w:szCs w:val="24"/>
          <w:lang w:val="hy-AM"/>
        </w:rPr>
        <w:t xml:space="preserve"> ծառայությունների մատուցման</w:t>
      </w:r>
      <w:r w:rsidRPr="002D7AB9">
        <w:rPr>
          <w:rFonts w:ascii="Sylfaen" w:hAnsi="Sylfaen" w:cstheme="minorHAnsi"/>
          <w:szCs w:val="24"/>
          <w:lang w:val="hy-AM"/>
        </w:rPr>
        <w:t xml:space="preserve"> պայմանագրերը</w:t>
      </w:r>
      <w:r w:rsidR="00B72B36" w:rsidRPr="002D7AB9">
        <w:rPr>
          <w:rFonts w:ascii="Sylfaen" w:hAnsi="Sylfaen" w:cstheme="minorHAnsi"/>
          <w:szCs w:val="24"/>
          <w:lang w:val="hy-AM"/>
        </w:rPr>
        <w:t xml:space="preserve"> հարակից փաստաթղթերով</w:t>
      </w:r>
      <w:r w:rsidR="008557BC" w:rsidRPr="002D7AB9">
        <w:rPr>
          <w:rFonts w:ascii="Sylfaen" w:hAnsi="Sylfaen" w:cstheme="minorHAnsi"/>
          <w:szCs w:val="24"/>
          <w:lang w:val="hy-AM"/>
        </w:rPr>
        <w:t>/</w:t>
      </w:r>
      <w:r w:rsidR="00B72B36" w:rsidRPr="002D7AB9">
        <w:rPr>
          <w:rFonts w:ascii="Sylfaen" w:hAnsi="Sylfaen" w:cstheme="minorHAnsi"/>
          <w:szCs w:val="24"/>
          <w:lang w:val="hy-AM"/>
        </w:rPr>
        <w:t>,</w:t>
      </w:r>
    </w:p>
    <w:p w:rsidR="00FA3D2C" w:rsidRPr="002D7AB9" w:rsidRDefault="00B72B36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>Համապատասխան միջոցների և</w:t>
      </w:r>
      <w:r w:rsidR="008C0956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FA3D2C" w:rsidRPr="002D7AB9">
        <w:rPr>
          <w:rFonts w:ascii="Sylfaen" w:hAnsi="Sylfaen" w:cstheme="minorHAnsi"/>
          <w:szCs w:val="24"/>
          <w:lang w:val="hy-AM"/>
        </w:rPr>
        <w:t xml:space="preserve">սարքավորումների առկայություն՝ </w:t>
      </w:r>
      <w:r w:rsidRPr="002D7AB9">
        <w:rPr>
          <w:rFonts w:ascii="Sylfaen" w:hAnsi="Sylfaen" w:cstheme="minorHAnsi"/>
          <w:szCs w:val="24"/>
          <w:lang w:val="hy-AM"/>
        </w:rPr>
        <w:t>դրանց առկայությունը հավաստող</w:t>
      </w:r>
      <w:r w:rsidR="00FA3D2C" w:rsidRPr="002D7AB9">
        <w:rPr>
          <w:rFonts w:ascii="Sylfaen" w:hAnsi="Sylfaen" w:cstheme="minorHAnsi"/>
          <w:szCs w:val="24"/>
          <w:lang w:val="hy-AM"/>
        </w:rPr>
        <w:t xml:space="preserve"> փաստաթղթերով</w:t>
      </w:r>
      <w:r w:rsidR="008557BC" w:rsidRPr="002D7AB9">
        <w:rPr>
          <w:rFonts w:ascii="Sylfaen" w:hAnsi="Sylfaen" w:cstheme="minorHAnsi"/>
          <w:szCs w:val="24"/>
          <w:lang w:val="hy-AM"/>
        </w:rPr>
        <w:t xml:space="preserve"> և տեղեկատվությամբ,</w:t>
      </w:r>
    </w:p>
    <w:p w:rsidR="00B72B36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lastRenderedPageBreak/>
        <w:t xml:space="preserve">Հիմնական աշխատակազմ՝ </w:t>
      </w:r>
      <w:r w:rsidR="00B72B36" w:rsidRPr="002D7AB9">
        <w:rPr>
          <w:rFonts w:ascii="Sylfaen" w:hAnsi="Sylfaen" w:cstheme="minorHAnsi"/>
          <w:szCs w:val="24"/>
          <w:lang w:val="hy-AM"/>
        </w:rPr>
        <w:t>ճարտարապետ-հիդրոշինարար</w:t>
      </w:r>
      <w:r w:rsidR="008D34F8" w:rsidRPr="002D7AB9">
        <w:rPr>
          <w:rFonts w:ascii="Sylfaen" w:hAnsi="Sylfaen" w:cstheme="minorHAnsi"/>
          <w:szCs w:val="24"/>
          <w:lang w:val="hy-AM"/>
        </w:rPr>
        <w:t>ներ</w:t>
      </w:r>
      <w:r w:rsidRPr="002D7AB9">
        <w:rPr>
          <w:rFonts w:ascii="Sylfaen" w:hAnsi="Sylfaen" w:cstheme="minorHAnsi"/>
          <w:szCs w:val="24"/>
          <w:lang w:val="hy-AM"/>
        </w:rPr>
        <w:t xml:space="preserve"> </w:t>
      </w:r>
      <w:r w:rsidR="008557BC" w:rsidRPr="002D7AB9">
        <w:rPr>
          <w:rFonts w:ascii="Sylfaen" w:hAnsi="Sylfaen" w:cstheme="minorHAnsi"/>
          <w:szCs w:val="24"/>
          <w:lang w:val="hy-AM"/>
        </w:rPr>
        <w:t>-</w:t>
      </w:r>
      <w:r w:rsidRPr="002D7AB9">
        <w:rPr>
          <w:rFonts w:ascii="Sylfaen" w:hAnsi="Sylfaen" w:cstheme="minorHAnsi"/>
          <w:szCs w:val="24"/>
          <w:lang w:val="hy-AM"/>
        </w:rPr>
        <w:t xml:space="preserve"> տվյալ մասնագիտու</w:t>
      </w:r>
      <w:r w:rsidR="00B72B36" w:rsidRPr="002D7AB9">
        <w:rPr>
          <w:rFonts w:ascii="Sylfaen" w:hAnsi="Sylfaen" w:cstheme="minorHAnsi"/>
          <w:szCs w:val="24"/>
          <w:lang w:val="hy-AM"/>
        </w:rPr>
        <w:t>թ</w:t>
      </w:r>
      <w:r w:rsidR="007435C6" w:rsidRPr="002D7AB9">
        <w:rPr>
          <w:rFonts w:ascii="Sylfaen" w:hAnsi="Sylfaen" w:cstheme="minorHAnsi"/>
          <w:szCs w:val="24"/>
          <w:lang w:val="hy-AM"/>
        </w:rPr>
        <w:t xml:space="preserve">յամբ աշխատելու փորձառությունը </w:t>
      </w:r>
      <w:r w:rsidR="00735391" w:rsidRPr="002D7AB9">
        <w:rPr>
          <w:rFonts w:ascii="Sylfaen" w:hAnsi="Sylfaen" w:cstheme="minorHAnsi"/>
          <w:szCs w:val="24"/>
          <w:lang w:val="hy-AM"/>
        </w:rPr>
        <w:t>5-</w:t>
      </w:r>
      <w:r w:rsidR="007435C6" w:rsidRPr="002D7AB9">
        <w:rPr>
          <w:rFonts w:ascii="Sylfaen" w:hAnsi="Sylfaen" w:cstheme="minorHAnsi"/>
          <w:szCs w:val="24"/>
          <w:lang w:val="hy-AM"/>
        </w:rPr>
        <w:t>7</w:t>
      </w:r>
      <w:r w:rsidRPr="002D7AB9">
        <w:rPr>
          <w:rFonts w:ascii="Sylfaen" w:hAnsi="Sylfaen" w:cstheme="minorHAnsi"/>
          <w:szCs w:val="24"/>
          <w:lang w:val="hy-AM"/>
        </w:rPr>
        <w:t xml:space="preserve"> տարի,</w:t>
      </w:r>
      <w:r w:rsidR="007435C6" w:rsidRPr="002D7AB9">
        <w:rPr>
          <w:rFonts w:ascii="Sylfaen" w:hAnsi="Sylfaen" w:cstheme="minorHAnsi"/>
          <w:szCs w:val="24"/>
          <w:lang w:val="hy-AM"/>
        </w:rPr>
        <w:t xml:space="preserve"> որակի տեխնիկական </w:t>
      </w:r>
      <w:r w:rsidR="00B72B36" w:rsidRPr="002D7AB9">
        <w:rPr>
          <w:rFonts w:ascii="Sylfaen" w:hAnsi="Sylfaen" w:cstheme="minorHAnsi"/>
          <w:szCs w:val="24"/>
          <w:lang w:val="hy-AM"/>
        </w:rPr>
        <w:t>հսկողության մասնագետ</w:t>
      </w:r>
      <w:r w:rsidR="008D34F8" w:rsidRPr="002D7AB9">
        <w:rPr>
          <w:rFonts w:ascii="Sylfaen" w:hAnsi="Sylfaen" w:cstheme="minorHAnsi"/>
          <w:szCs w:val="24"/>
          <w:lang w:val="hy-AM"/>
        </w:rPr>
        <w:t>ներ</w:t>
      </w:r>
      <w:r w:rsidR="008557BC" w:rsidRPr="002D7AB9">
        <w:rPr>
          <w:rFonts w:ascii="Sylfaen" w:hAnsi="Sylfaen" w:cstheme="minorHAnsi"/>
          <w:szCs w:val="24"/>
          <w:lang w:val="hy-AM"/>
        </w:rPr>
        <w:t xml:space="preserve"> -</w:t>
      </w:r>
      <w:r w:rsidR="00B70F05" w:rsidRPr="002D7AB9">
        <w:rPr>
          <w:rFonts w:ascii="Sylfaen" w:hAnsi="Sylfaen" w:cstheme="minorHAnsi"/>
          <w:szCs w:val="24"/>
          <w:lang w:val="hy-AM"/>
        </w:rPr>
        <w:t xml:space="preserve"> փորձառությունը </w:t>
      </w:r>
      <w:r w:rsidR="00735391" w:rsidRPr="002D7AB9">
        <w:rPr>
          <w:rFonts w:ascii="Sylfaen" w:hAnsi="Sylfaen" w:cstheme="minorHAnsi"/>
          <w:szCs w:val="24"/>
          <w:lang w:val="hy-AM"/>
        </w:rPr>
        <w:t>3-</w:t>
      </w:r>
      <w:r w:rsidR="00B70F05" w:rsidRPr="002D7AB9">
        <w:rPr>
          <w:rFonts w:ascii="Sylfaen" w:hAnsi="Sylfaen" w:cstheme="minorHAnsi"/>
          <w:szCs w:val="24"/>
          <w:lang w:val="hy-AM"/>
        </w:rPr>
        <w:t>5 տարի,</w:t>
      </w:r>
    </w:p>
    <w:p w:rsidR="003D4910" w:rsidRPr="002D7AB9" w:rsidRDefault="00FA3D2C" w:rsidP="008557BC">
      <w:pPr>
        <w:numPr>
          <w:ilvl w:val="0"/>
          <w:numId w:val="29"/>
        </w:numPr>
        <w:contextualSpacing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Համապատասխան </w:t>
      </w:r>
      <w:r w:rsidR="00B72B36" w:rsidRPr="002D7AB9">
        <w:rPr>
          <w:rFonts w:ascii="Sylfaen" w:hAnsi="Sylfaen" w:cstheme="minorHAnsi"/>
          <w:szCs w:val="24"/>
          <w:lang w:val="hy-AM"/>
        </w:rPr>
        <w:t>գործունեության</w:t>
      </w:r>
      <w:r w:rsidR="007435C6" w:rsidRPr="002D7AB9">
        <w:rPr>
          <w:rFonts w:ascii="Sylfaen" w:hAnsi="Sylfaen" w:cstheme="minorHAnsi"/>
          <w:szCs w:val="24"/>
          <w:lang w:val="hy-AM"/>
        </w:rPr>
        <w:t xml:space="preserve"> </w:t>
      </w:r>
      <w:r w:rsidR="00B72B36" w:rsidRPr="002D7AB9">
        <w:rPr>
          <w:rFonts w:ascii="Sylfaen" w:hAnsi="Sylfaen" w:cstheme="minorHAnsi"/>
          <w:szCs w:val="24"/>
          <w:lang w:val="hy-AM"/>
        </w:rPr>
        <w:t>արտոնագիր</w:t>
      </w:r>
      <w:r w:rsidRPr="002D7AB9">
        <w:rPr>
          <w:rFonts w:ascii="Sylfaen" w:hAnsi="Sylfaen" w:cstheme="minorHAnsi"/>
          <w:szCs w:val="24"/>
          <w:lang w:val="hy-AM"/>
        </w:rPr>
        <w:t xml:space="preserve">/թույլտվություն՝ տրված ՀՀ </w:t>
      </w:r>
      <w:r w:rsidR="00B72B36" w:rsidRPr="002D7AB9">
        <w:rPr>
          <w:rFonts w:ascii="Sylfaen" w:hAnsi="Sylfaen" w:cstheme="minorHAnsi"/>
          <w:szCs w:val="24"/>
          <w:lang w:val="hy-AM"/>
        </w:rPr>
        <w:t>իրավասու գերատեսչության</w:t>
      </w:r>
      <w:r w:rsidRPr="002D7AB9">
        <w:rPr>
          <w:rFonts w:ascii="Sylfaen" w:hAnsi="Sylfaen" w:cstheme="minorHAnsi"/>
          <w:szCs w:val="24"/>
          <w:lang w:val="hy-AM"/>
        </w:rPr>
        <w:t xml:space="preserve"> կողմից/: </w:t>
      </w:r>
    </w:p>
    <w:p w:rsidR="003D4910" w:rsidRPr="002D7AB9" w:rsidRDefault="003D4910" w:rsidP="003D4910">
      <w:pPr>
        <w:pStyle w:val="ListParagraph"/>
        <w:ind w:left="360"/>
        <w:rPr>
          <w:rFonts w:ascii="Sylfaen" w:hAnsi="Sylfaen" w:cstheme="minorHAnsi"/>
          <w:szCs w:val="24"/>
          <w:lang w:val="hy-AM"/>
        </w:rPr>
      </w:pPr>
    </w:p>
    <w:p w:rsidR="003D4910" w:rsidRPr="002D7AB9" w:rsidRDefault="008420A9" w:rsidP="003D4910">
      <w:pPr>
        <w:ind w:left="-270"/>
        <w:rPr>
          <w:rFonts w:ascii="Sylfaen" w:hAnsi="Sylfaen" w:cstheme="minorHAnsi"/>
          <w:b/>
          <w:szCs w:val="24"/>
          <w:lang w:val="hy-AM"/>
        </w:rPr>
      </w:pPr>
      <w:r w:rsidRPr="002D7AB9">
        <w:rPr>
          <w:rFonts w:ascii="Sylfaen" w:hAnsi="Sylfaen" w:cstheme="minorHAnsi"/>
          <w:b/>
          <w:szCs w:val="24"/>
          <w:lang w:val="hy-AM"/>
        </w:rPr>
        <w:t xml:space="preserve">     </w:t>
      </w:r>
      <w:r w:rsidR="003D4910" w:rsidRPr="002D7AB9">
        <w:rPr>
          <w:rFonts w:ascii="Sylfaen" w:hAnsi="Sylfaen" w:cstheme="minorHAnsi"/>
          <w:b/>
          <w:szCs w:val="24"/>
          <w:lang w:val="hy-AM"/>
        </w:rPr>
        <w:t>Ի լրումն  վերոնշյալ պահանջված տեղեկատվության</w:t>
      </w:r>
      <w:r w:rsidRPr="002D7AB9">
        <w:rPr>
          <w:rFonts w:ascii="Sylfaen" w:hAnsi="Sylfaen" w:cstheme="minorHAnsi"/>
          <w:b/>
          <w:szCs w:val="24"/>
          <w:lang w:val="hy-AM"/>
        </w:rPr>
        <w:t>՝</w:t>
      </w:r>
      <w:r w:rsidR="003D4910" w:rsidRPr="002D7AB9">
        <w:rPr>
          <w:rFonts w:ascii="Sylfaen" w:hAnsi="Sylfaen" w:cstheme="minorHAnsi"/>
          <w:b/>
          <w:szCs w:val="24"/>
          <w:lang w:val="hy-AM"/>
        </w:rPr>
        <w:t xml:space="preserve">  հետաքրքրության հայտ ներկայացնող կազմակերպությունները պարտավոր են հայերեն և անգլերեն լեզուներով լրացնել Պատվիրատուի կողմից մշակված ձևաչափին համապատասխան տեղեկատվություն և ներառել ներկայացվող փաթեթում՝ ստորագրված և կնքված տարբերակով: Նշված ձևաչափերը մասնակիցները կարող են ներբեռնել «Վեոլիա Ջուր» ընկերության պաշտոնական վեբ կայքից՝ </w:t>
      </w:r>
    </w:p>
    <w:p w:rsidR="003D4910" w:rsidRPr="002D7AB9" w:rsidRDefault="001663BF" w:rsidP="003D4910">
      <w:pPr>
        <w:ind w:left="-270"/>
        <w:rPr>
          <w:rFonts w:ascii="Sylfaen" w:hAnsi="Sylfaen" w:cstheme="minorHAnsi"/>
          <w:b/>
          <w:szCs w:val="24"/>
          <w:lang w:val="hy-AM"/>
        </w:rPr>
      </w:pPr>
      <w:hyperlink r:id="rId8" w:history="1">
        <w:r w:rsidR="003D4910" w:rsidRPr="002D7AB9">
          <w:rPr>
            <w:rStyle w:val="Hyperlink"/>
            <w:rFonts w:ascii="Sylfaen" w:hAnsi="Sylfaen"/>
            <w:szCs w:val="24"/>
            <w:lang w:val="hy-AM"/>
          </w:rPr>
          <w:t>https://www.veolia.am/hy/media/gnowmner</w:t>
        </w:r>
      </w:hyperlink>
    </w:p>
    <w:p w:rsidR="003D4910" w:rsidRPr="002D7AB9" w:rsidRDefault="003D4910" w:rsidP="003D4910">
      <w:pPr>
        <w:ind w:left="-270"/>
        <w:rPr>
          <w:rFonts w:ascii="Sylfaen" w:hAnsi="Sylfaen" w:cstheme="minorHAnsi"/>
          <w:b/>
          <w:szCs w:val="24"/>
          <w:lang w:val="hy-AM"/>
        </w:rPr>
      </w:pPr>
    </w:p>
    <w:p w:rsidR="00F15CA0" w:rsidRPr="00F15CA0" w:rsidRDefault="00BD1505" w:rsidP="00BD1505">
      <w:pPr>
        <w:ind w:left="-270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    </w:t>
      </w:r>
      <w:r w:rsidR="00F15CA0" w:rsidRPr="00F15CA0">
        <w:rPr>
          <w:rFonts w:ascii="Sylfaen" w:hAnsi="Sylfaen" w:cstheme="minorHAnsi"/>
          <w:szCs w:val="24"/>
          <w:lang w:val="hy-AM"/>
        </w:rPr>
        <w:t xml:space="preserve">Հայտատուները կարող են լրացուցիչ տեղեկություններ ստանալ «Վեոլիա ջուր» ՓԲԸ-ից աշխատանքային օրերին ժամը 09.00-13.00 և 14.00-18.00: Հայտերը պետք է ներկայացվեն ստորագրված, կնքված և փակ ծրարով ոչ ուշ, քան 2020թ. </w:t>
      </w:r>
      <w:r w:rsidR="00F15CA0" w:rsidRPr="002D7AB9">
        <w:rPr>
          <w:rFonts w:ascii="Sylfaen" w:hAnsi="Sylfaen" w:cstheme="minorHAnsi"/>
          <w:szCs w:val="24"/>
          <w:lang w:val="hy-AM"/>
        </w:rPr>
        <w:t>փետրվարի 5-ը</w:t>
      </w:r>
      <w:r w:rsidR="00F15CA0" w:rsidRPr="00F15CA0">
        <w:rPr>
          <w:rFonts w:ascii="Sylfaen" w:hAnsi="Sylfaen" w:cstheme="minorHAnsi"/>
          <w:szCs w:val="24"/>
          <w:lang w:val="hy-AM"/>
        </w:rPr>
        <w:t>, ժամը 11:00-ն:</w:t>
      </w:r>
    </w:p>
    <w:p w:rsidR="00F15CA0" w:rsidRPr="00F15CA0" w:rsidRDefault="00BD1505" w:rsidP="00BD1505">
      <w:pPr>
        <w:ind w:left="-270"/>
        <w:rPr>
          <w:rFonts w:ascii="Sylfaen" w:hAnsi="Sylfaen" w:cstheme="minorHAnsi"/>
          <w:szCs w:val="24"/>
          <w:lang w:val="hy-AM"/>
        </w:rPr>
      </w:pPr>
      <w:r w:rsidRPr="002D7AB9">
        <w:rPr>
          <w:rFonts w:ascii="Sylfaen" w:hAnsi="Sylfaen" w:cstheme="minorHAnsi"/>
          <w:szCs w:val="24"/>
          <w:lang w:val="hy-AM"/>
        </w:rPr>
        <w:t xml:space="preserve">     </w:t>
      </w:r>
      <w:r w:rsidR="00F15CA0" w:rsidRPr="00F15CA0">
        <w:rPr>
          <w:rFonts w:ascii="Sylfaen" w:hAnsi="Sylfaen" w:cstheme="minorHAnsi"/>
          <w:szCs w:val="24"/>
          <w:lang w:val="hy-AM"/>
        </w:rPr>
        <w:t>Հասցե՝ ՀՀ, 0014, Երևան, Ադոնցի 6/1, 9-րդ հարկ, «Վեոլիա Ջուր» ՓԲԸ, Գնումների վարչություն: Հեռ.՝ + 374 (91) 28-23-32, էլ-փոստ`</w:t>
      </w:r>
      <w:hyperlink r:id="rId9" w:history="1">
        <w:r w:rsidR="00F15CA0" w:rsidRPr="00F15CA0">
          <w:rPr>
            <w:rFonts w:ascii="Sylfaen" w:hAnsi="Sylfaen" w:cstheme="minorHAnsi"/>
            <w:szCs w:val="24"/>
            <w:lang w:val="hy-AM"/>
          </w:rPr>
          <w:t>anna.trdatyan@veolia.com</w:t>
        </w:r>
      </w:hyperlink>
      <w:r w:rsidR="00F15CA0" w:rsidRPr="00F15CA0">
        <w:rPr>
          <w:rFonts w:ascii="Sylfaen" w:eastAsia="Calibri" w:hAnsi="Sylfaen"/>
          <w:bCs/>
          <w:szCs w:val="24"/>
          <w:lang w:val="hy-AM"/>
        </w:rPr>
        <w:t>:</w:t>
      </w:r>
    </w:p>
    <w:p w:rsidR="00AF316B" w:rsidRPr="00854471" w:rsidRDefault="00AF316B" w:rsidP="00AF316B">
      <w:pPr>
        <w:jc w:val="left"/>
        <w:rPr>
          <w:rFonts w:ascii="Sylfaen" w:hAnsi="Sylfaen" w:cstheme="minorHAnsi"/>
          <w:sz w:val="22"/>
          <w:szCs w:val="22"/>
          <w:lang w:val="hy-AM"/>
        </w:rPr>
      </w:pPr>
    </w:p>
    <w:sectPr w:rsidR="00AF316B" w:rsidRPr="00854471" w:rsidSect="007721A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D0"/>
    <w:multiLevelType w:val="multilevel"/>
    <w:tmpl w:val="1644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0B67A0"/>
    <w:multiLevelType w:val="hybridMultilevel"/>
    <w:tmpl w:val="69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2CC9"/>
    <w:multiLevelType w:val="hybridMultilevel"/>
    <w:tmpl w:val="E57696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47725FA"/>
    <w:multiLevelType w:val="hybridMultilevel"/>
    <w:tmpl w:val="66E85E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CC67253"/>
    <w:multiLevelType w:val="hybridMultilevel"/>
    <w:tmpl w:val="5D64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165F5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5446EC"/>
    <w:multiLevelType w:val="hybridMultilevel"/>
    <w:tmpl w:val="2026D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30758AA"/>
    <w:multiLevelType w:val="hybridMultilevel"/>
    <w:tmpl w:val="5D0C0E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62A3449"/>
    <w:multiLevelType w:val="hybridMultilevel"/>
    <w:tmpl w:val="39C21CBA"/>
    <w:lvl w:ilvl="0" w:tplc="DCF2CF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01A5"/>
    <w:multiLevelType w:val="hybridMultilevel"/>
    <w:tmpl w:val="6E8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61128"/>
    <w:multiLevelType w:val="hybridMultilevel"/>
    <w:tmpl w:val="12D86AA2"/>
    <w:lvl w:ilvl="0" w:tplc="FBA47BC8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3F3A4236"/>
    <w:multiLevelType w:val="hybridMultilevel"/>
    <w:tmpl w:val="B38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5763D"/>
    <w:multiLevelType w:val="multilevel"/>
    <w:tmpl w:val="F57A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Sylfaen" w:hint="default"/>
      </w:rPr>
    </w:lvl>
  </w:abstractNum>
  <w:abstractNum w:abstractNumId="14">
    <w:nsid w:val="4DD4063F"/>
    <w:multiLevelType w:val="hybridMultilevel"/>
    <w:tmpl w:val="C7EAF986"/>
    <w:lvl w:ilvl="0" w:tplc="D74C0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6">
    <w:nsid w:val="55D22A77"/>
    <w:multiLevelType w:val="hybridMultilevel"/>
    <w:tmpl w:val="C60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D3E5CA7"/>
    <w:multiLevelType w:val="hybridMultilevel"/>
    <w:tmpl w:val="AD74B3E8"/>
    <w:lvl w:ilvl="0" w:tplc="2DFEC68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54AFC"/>
    <w:multiLevelType w:val="hybridMultilevel"/>
    <w:tmpl w:val="E388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66FE6B99"/>
    <w:multiLevelType w:val="hybridMultilevel"/>
    <w:tmpl w:val="64F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2">
    <w:nsid w:val="693B3C9C"/>
    <w:multiLevelType w:val="hybridMultilevel"/>
    <w:tmpl w:val="58761D80"/>
    <w:lvl w:ilvl="0" w:tplc="22C2F450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6A673940"/>
    <w:multiLevelType w:val="hybridMultilevel"/>
    <w:tmpl w:val="4176DFA8"/>
    <w:lvl w:ilvl="0" w:tplc="6C7E80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5">
    <w:nsid w:val="718E272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7501C54"/>
    <w:multiLevelType w:val="hybridMultilevel"/>
    <w:tmpl w:val="59DEF7B8"/>
    <w:lvl w:ilvl="0" w:tplc="1116F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27">
    <w:nsid w:val="77E44635"/>
    <w:multiLevelType w:val="hybridMultilevel"/>
    <w:tmpl w:val="75662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544DA"/>
    <w:multiLevelType w:val="hybridMultilevel"/>
    <w:tmpl w:val="43E4D2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4"/>
  </w:num>
  <w:num w:numId="5">
    <w:abstractNumId w:val="9"/>
  </w:num>
  <w:num w:numId="6">
    <w:abstractNumId w:val="14"/>
  </w:num>
  <w:num w:numId="7">
    <w:abstractNumId w:val="21"/>
  </w:num>
  <w:num w:numId="8">
    <w:abstractNumId w:val="7"/>
  </w:num>
  <w:num w:numId="9">
    <w:abstractNumId w:val="26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  <w:num w:numId="18">
    <w:abstractNumId w:val="11"/>
  </w:num>
  <w:num w:numId="19">
    <w:abstractNumId w:val="22"/>
  </w:num>
  <w:num w:numId="20">
    <w:abstractNumId w:val="8"/>
  </w:num>
  <w:num w:numId="21">
    <w:abstractNumId w:val="13"/>
  </w:num>
  <w:num w:numId="22">
    <w:abstractNumId w:val="18"/>
  </w:num>
  <w:num w:numId="23">
    <w:abstractNumId w:val="4"/>
  </w:num>
  <w:num w:numId="24">
    <w:abstractNumId w:val="3"/>
  </w:num>
  <w:num w:numId="25">
    <w:abstractNumId w:val="28"/>
  </w:num>
  <w:num w:numId="26">
    <w:abstractNumId w:val="23"/>
  </w:num>
  <w:num w:numId="27">
    <w:abstractNumId w:val="2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6B"/>
    <w:rsid w:val="00023176"/>
    <w:rsid w:val="000516CD"/>
    <w:rsid w:val="000822DD"/>
    <w:rsid w:val="00084732"/>
    <w:rsid w:val="000D34DE"/>
    <w:rsid w:val="0011230F"/>
    <w:rsid w:val="00130365"/>
    <w:rsid w:val="001424C6"/>
    <w:rsid w:val="00160A6B"/>
    <w:rsid w:val="001663BF"/>
    <w:rsid w:val="00167125"/>
    <w:rsid w:val="001A300F"/>
    <w:rsid w:val="001A730E"/>
    <w:rsid w:val="001C2FDD"/>
    <w:rsid w:val="00245E41"/>
    <w:rsid w:val="0025126D"/>
    <w:rsid w:val="0027236F"/>
    <w:rsid w:val="00280C1E"/>
    <w:rsid w:val="00284197"/>
    <w:rsid w:val="00291868"/>
    <w:rsid w:val="002B7955"/>
    <w:rsid w:val="002C2A59"/>
    <w:rsid w:val="002D73FC"/>
    <w:rsid w:val="002D7AB9"/>
    <w:rsid w:val="003027FC"/>
    <w:rsid w:val="003102AD"/>
    <w:rsid w:val="00322A71"/>
    <w:rsid w:val="00330FB6"/>
    <w:rsid w:val="0034788F"/>
    <w:rsid w:val="003523BE"/>
    <w:rsid w:val="003776BF"/>
    <w:rsid w:val="003A3C71"/>
    <w:rsid w:val="003A7BCA"/>
    <w:rsid w:val="003D4910"/>
    <w:rsid w:val="003E5A65"/>
    <w:rsid w:val="00406100"/>
    <w:rsid w:val="00414470"/>
    <w:rsid w:val="00422E65"/>
    <w:rsid w:val="00442823"/>
    <w:rsid w:val="00445B68"/>
    <w:rsid w:val="004617F9"/>
    <w:rsid w:val="004757EA"/>
    <w:rsid w:val="00485BAD"/>
    <w:rsid w:val="00492964"/>
    <w:rsid w:val="004966FA"/>
    <w:rsid w:val="004C770C"/>
    <w:rsid w:val="004D6A13"/>
    <w:rsid w:val="00514BBA"/>
    <w:rsid w:val="005353BB"/>
    <w:rsid w:val="00555B74"/>
    <w:rsid w:val="0055617C"/>
    <w:rsid w:val="00562F2A"/>
    <w:rsid w:val="005A17C4"/>
    <w:rsid w:val="005A2C34"/>
    <w:rsid w:val="005B47BE"/>
    <w:rsid w:val="005F082F"/>
    <w:rsid w:val="00603E2B"/>
    <w:rsid w:val="00622496"/>
    <w:rsid w:val="00655CB8"/>
    <w:rsid w:val="006A0E72"/>
    <w:rsid w:val="006A49BB"/>
    <w:rsid w:val="006A6714"/>
    <w:rsid w:val="006B21E6"/>
    <w:rsid w:val="006E5591"/>
    <w:rsid w:val="006F3B10"/>
    <w:rsid w:val="006F4732"/>
    <w:rsid w:val="0070353E"/>
    <w:rsid w:val="00717237"/>
    <w:rsid w:val="007231A8"/>
    <w:rsid w:val="007234CF"/>
    <w:rsid w:val="0072690B"/>
    <w:rsid w:val="00735391"/>
    <w:rsid w:val="007435C6"/>
    <w:rsid w:val="00745D11"/>
    <w:rsid w:val="00752114"/>
    <w:rsid w:val="007721AF"/>
    <w:rsid w:val="0078556C"/>
    <w:rsid w:val="007B254A"/>
    <w:rsid w:val="007C4A8E"/>
    <w:rsid w:val="00814BB3"/>
    <w:rsid w:val="0081752C"/>
    <w:rsid w:val="008420A9"/>
    <w:rsid w:val="008440EC"/>
    <w:rsid w:val="00854471"/>
    <w:rsid w:val="008557BC"/>
    <w:rsid w:val="008C0956"/>
    <w:rsid w:val="008D34F8"/>
    <w:rsid w:val="008E2F8B"/>
    <w:rsid w:val="00904994"/>
    <w:rsid w:val="00931C40"/>
    <w:rsid w:val="00940F6C"/>
    <w:rsid w:val="00942337"/>
    <w:rsid w:val="00990EB1"/>
    <w:rsid w:val="0099490C"/>
    <w:rsid w:val="009B165D"/>
    <w:rsid w:val="009C6E6F"/>
    <w:rsid w:val="009E4079"/>
    <w:rsid w:val="009F462A"/>
    <w:rsid w:val="009F53BB"/>
    <w:rsid w:val="00A06BDE"/>
    <w:rsid w:val="00A370F1"/>
    <w:rsid w:val="00A41CCD"/>
    <w:rsid w:val="00A54557"/>
    <w:rsid w:val="00A750CF"/>
    <w:rsid w:val="00A801E4"/>
    <w:rsid w:val="00AA210B"/>
    <w:rsid w:val="00AC1E74"/>
    <w:rsid w:val="00AE1092"/>
    <w:rsid w:val="00AF316B"/>
    <w:rsid w:val="00AF3267"/>
    <w:rsid w:val="00AF47C9"/>
    <w:rsid w:val="00B24929"/>
    <w:rsid w:val="00B626B4"/>
    <w:rsid w:val="00B70F05"/>
    <w:rsid w:val="00B727A7"/>
    <w:rsid w:val="00B72B36"/>
    <w:rsid w:val="00B75044"/>
    <w:rsid w:val="00BA0BA7"/>
    <w:rsid w:val="00BA7096"/>
    <w:rsid w:val="00BA7851"/>
    <w:rsid w:val="00BB07B9"/>
    <w:rsid w:val="00BC3118"/>
    <w:rsid w:val="00BC33A6"/>
    <w:rsid w:val="00BC66CE"/>
    <w:rsid w:val="00BD1505"/>
    <w:rsid w:val="00BF32A5"/>
    <w:rsid w:val="00C00412"/>
    <w:rsid w:val="00C00839"/>
    <w:rsid w:val="00C11D60"/>
    <w:rsid w:val="00C154A1"/>
    <w:rsid w:val="00C22809"/>
    <w:rsid w:val="00C25DDA"/>
    <w:rsid w:val="00C26D0C"/>
    <w:rsid w:val="00C3154A"/>
    <w:rsid w:val="00C35F7A"/>
    <w:rsid w:val="00C560B3"/>
    <w:rsid w:val="00C65029"/>
    <w:rsid w:val="00C71406"/>
    <w:rsid w:val="00C80261"/>
    <w:rsid w:val="00C8604C"/>
    <w:rsid w:val="00CC4908"/>
    <w:rsid w:val="00CC717C"/>
    <w:rsid w:val="00CE4016"/>
    <w:rsid w:val="00D26102"/>
    <w:rsid w:val="00D27D6A"/>
    <w:rsid w:val="00D43252"/>
    <w:rsid w:val="00D44340"/>
    <w:rsid w:val="00D60B9A"/>
    <w:rsid w:val="00DA7691"/>
    <w:rsid w:val="00DC6E87"/>
    <w:rsid w:val="00DF1FFD"/>
    <w:rsid w:val="00E039A6"/>
    <w:rsid w:val="00E12DFA"/>
    <w:rsid w:val="00E410C6"/>
    <w:rsid w:val="00E43579"/>
    <w:rsid w:val="00E654E5"/>
    <w:rsid w:val="00E83424"/>
    <w:rsid w:val="00EE7E32"/>
    <w:rsid w:val="00F15CA0"/>
    <w:rsid w:val="00F52ADA"/>
    <w:rsid w:val="00F563AF"/>
    <w:rsid w:val="00F81288"/>
    <w:rsid w:val="00F81328"/>
    <w:rsid w:val="00F87761"/>
    <w:rsid w:val="00F970B2"/>
    <w:rsid w:val="00FA3D2C"/>
    <w:rsid w:val="00FC11F1"/>
    <w:rsid w:val="00FC6357"/>
    <w:rsid w:val="00FD400B"/>
    <w:rsid w:val="00FD6966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7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7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olia.am/hy/media/gnowmn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.trdatyan@veo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2254-08D8-4F5A-99F1-7BBEC9D6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GAyvazyan</dc:creator>
  <cp:lastModifiedBy>Murad Sargsyan</cp:lastModifiedBy>
  <cp:revision>29</cp:revision>
  <cp:lastPrinted>2019-12-03T05:46:00Z</cp:lastPrinted>
  <dcterms:created xsi:type="dcterms:W3CDTF">2020-01-17T07:47:00Z</dcterms:created>
  <dcterms:modified xsi:type="dcterms:W3CDTF">2020-01-21T08:25:00Z</dcterms:modified>
</cp:coreProperties>
</file>